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0B" w:rsidRDefault="009D630B" w:rsidP="009D630B">
      <w:pPr>
        <w:autoSpaceDE w:val="0"/>
        <w:autoSpaceDN w:val="0"/>
        <w:adjustRightInd w:val="0"/>
        <w:jc w:val="center"/>
        <w:rPr>
          <w:rFonts w:ascii="Times New Roman" w:hAnsi="Times New Roman" w:cs="ArialNarrow-Bold"/>
          <w:bCs/>
          <w:sz w:val="22"/>
          <w:szCs w:val="20"/>
        </w:rPr>
      </w:pPr>
      <w:r>
        <w:rPr>
          <w:rFonts w:ascii="Times New Roman" w:hAnsi="Times New Roman" w:cs="ArialNarrow-Bold"/>
          <w:bCs/>
          <w:sz w:val="22"/>
          <w:szCs w:val="20"/>
        </w:rPr>
        <w:t>The American Political Science Association Annual Meeting 2012</w:t>
      </w:r>
    </w:p>
    <w:p w:rsidR="00D92306" w:rsidRDefault="00D92306" w:rsidP="00D92306">
      <w:pPr>
        <w:autoSpaceDE w:val="0"/>
        <w:autoSpaceDN w:val="0"/>
        <w:adjustRightInd w:val="0"/>
        <w:rPr>
          <w:rFonts w:ascii="Times New Roman" w:hAnsi="Times New Roman" w:cs="ArialNarrow-Italic"/>
          <w:iCs/>
          <w:sz w:val="22"/>
          <w:szCs w:val="22"/>
        </w:rPr>
      </w:pPr>
    </w:p>
    <w:p w:rsidR="00D92306" w:rsidRDefault="00D92306" w:rsidP="00D92306">
      <w:pPr>
        <w:autoSpaceDE w:val="0"/>
        <w:autoSpaceDN w:val="0"/>
        <w:adjustRightInd w:val="0"/>
        <w:rPr>
          <w:rFonts w:ascii="Times New Roman" w:hAnsi="Times New Roman" w:cs="ArialNarrow-Italic"/>
          <w:iCs/>
          <w:sz w:val="22"/>
          <w:szCs w:val="22"/>
        </w:rPr>
      </w:pPr>
    </w:p>
    <w:p w:rsidR="009D630B" w:rsidRDefault="009D630B" w:rsidP="00D92306">
      <w:pPr>
        <w:autoSpaceDE w:val="0"/>
        <w:autoSpaceDN w:val="0"/>
        <w:adjustRightInd w:val="0"/>
        <w:rPr>
          <w:rFonts w:ascii="Times New Roman" w:hAnsi="Times New Roman" w:cs="ArialNarrow-Italic"/>
          <w:iCs/>
          <w:sz w:val="22"/>
          <w:szCs w:val="22"/>
        </w:rPr>
      </w:pPr>
    </w:p>
    <w:p w:rsidR="009D630B" w:rsidRDefault="009D630B" w:rsidP="00D92306">
      <w:pPr>
        <w:autoSpaceDE w:val="0"/>
        <w:autoSpaceDN w:val="0"/>
        <w:adjustRightInd w:val="0"/>
        <w:rPr>
          <w:rFonts w:ascii="Times New Roman" w:hAnsi="Times New Roman" w:cs="ArialNarrow-Italic"/>
          <w:iCs/>
          <w:sz w:val="22"/>
          <w:szCs w:val="22"/>
        </w:rPr>
      </w:pPr>
    </w:p>
    <w:p w:rsidR="009D630B" w:rsidRDefault="009D630B" w:rsidP="00D92306">
      <w:pPr>
        <w:autoSpaceDE w:val="0"/>
        <w:autoSpaceDN w:val="0"/>
        <w:adjustRightInd w:val="0"/>
        <w:rPr>
          <w:rFonts w:ascii="Times New Roman" w:hAnsi="Times New Roman" w:cs="ArialNarrow-Italic"/>
          <w:iCs/>
          <w:sz w:val="22"/>
          <w:szCs w:val="22"/>
        </w:rPr>
      </w:pPr>
    </w:p>
    <w:p w:rsidR="009D630B" w:rsidRDefault="009D630B" w:rsidP="00D92306">
      <w:pPr>
        <w:autoSpaceDE w:val="0"/>
        <w:autoSpaceDN w:val="0"/>
        <w:adjustRightInd w:val="0"/>
        <w:rPr>
          <w:rFonts w:ascii="Times New Roman" w:hAnsi="Times New Roman" w:cs="ArialNarrow-Italic"/>
          <w:iCs/>
          <w:sz w:val="22"/>
          <w:szCs w:val="22"/>
        </w:rPr>
      </w:pPr>
    </w:p>
    <w:p w:rsidR="009D630B" w:rsidRDefault="009D630B" w:rsidP="00D92306">
      <w:pPr>
        <w:autoSpaceDE w:val="0"/>
        <w:autoSpaceDN w:val="0"/>
        <w:adjustRightInd w:val="0"/>
        <w:rPr>
          <w:rFonts w:ascii="Times New Roman" w:hAnsi="Times New Roman" w:cs="ArialNarrow-Italic"/>
          <w:iCs/>
          <w:sz w:val="22"/>
          <w:szCs w:val="22"/>
        </w:rPr>
      </w:pPr>
    </w:p>
    <w:p w:rsidR="009D630B" w:rsidRDefault="009D630B" w:rsidP="00D92306">
      <w:pPr>
        <w:autoSpaceDE w:val="0"/>
        <w:autoSpaceDN w:val="0"/>
        <w:adjustRightInd w:val="0"/>
        <w:rPr>
          <w:rFonts w:ascii="Times New Roman" w:hAnsi="Times New Roman" w:cs="ArialNarrow-Italic"/>
          <w:iCs/>
          <w:sz w:val="22"/>
          <w:szCs w:val="22"/>
        </w:rPr>
      </w:pPr>
    </w:p>
    <w:p w:rsidR="0074551B" w:rsidRPr="0074551B" w:rsidRDefault="00D92306" w:rsidP="00D92306">
      <w:pPr>
        <w:autoSpaceDE w:val="0"/>
        <w:autoSpaceDN w:val="0"/>
        <w:adjustRightInd w:val="0"/>
        <w:jc w:val="center"/>
        <w:rPr>
          <w:rFonts w:ascii="Times New Roman" w:hAnsi="Times New Roman" w:cs="ArialNarrow-Italic"/>
          <w:iCs/>
          <w:sz w:val="22"/>
          <w:szCs w:val="22"/>
        </w:rPr>
      </w:pPr>
      <w:r>
        <w:rPr>
          <w:rFonts w:ascii="Times New Roman" w:hAnsi="Times New Roman" w:cs="ArialNarrow-Italic"/>
          <w:iCs/>
          <w:sz w:val="22"/>
          <w:szCs w:val="22"/>
        </w:rPr>
        <w:t>A</w:t>
      </w:r>
      <w:r w:rsidR="0074551B" w:rsidRPr="0074551B">
        <w:rPr>
          <w:rFonts w:ascii="Times New Roman" w:hAnsi="Times New Roman" w:cs="ArialNarrow-Italic"/>
          <w:iCs/>
          <w:sz w:val="22"/>
          <w:szCs w:val="22"/>
        </w:rPr>
        <w:t>ssemblages and Agents in Explanations of Institutional Change</w:t>
      </w:r>
    </w:p>
    <w:p w:rsidR="0074551B" w:rsidRDefault="0074551B" w:rsidP="0074551B">
      <w:pPr>
        <w:autoSpaceDE w:val="0"/>
        <w:autoSpaceDN w:val="0"/>
        <w:adjustRightInd w:val="0"/>
        <w:jc w:val="center"/>
        <w:rPr>
          <w:rFonts w:ascii="Times New Roman" w:hAnsi="Times New Roman" w:cs="ArialNarrow-Italic"/>
          <w:i/>
          <w:iCs/>
          <w:sz w:val="22"/>
          <w:szCs w:val="22"/>
        </w:rPr>
      </w:pPr>
    </w:p>
    <w:p w:rsidR="00715734" w:rsidRPr="0074551B" w:rsidRDefault="00715734" w:rsidP="0074551B">
      <w:pPr>
        <w:autoSpaceDE w:val="0"/>
        <w:autoSpaceDN w:val="0"/>
        <w:adjustRightInd w:val="0"/>
        <w:jc w:val="center"/>
        <w:rPr>
          <w:rFonts w:ascii="Times New Roman" w:hAnsi="Times New Roman" w:cs="ArialNarrow-Italic"/>
          <w:i/>
          <w:iCs/>
          <w:sz w:val="22"/>
          <w:szCs w:val="22"/>
        </w:rPr>
      </w:pPr>
    </w:p>
    <w:p w:rsidR="0074551B" w:rsidRPr="0074551B" w:rsidRDefault="0074551B" w:rsidP="0074551B">
      <w:pPr>
        <w:autoSpaceDE w:val="0"/>
        <w:autoSpaceDN w:val="0"/>
        <w:adjustRightInd w:val="0"/>
        <w:jc w:val="center"/>
        <w:rPr>
          <w:rFonts w:ascii="Times New Roman" w:hAnsi="Times New Roman" w:cs="ArialNarrow-Italic"/>
          <w:iCs/>
          <w:sz w:val="22"/>
          <w:szCs w:val="22"/>
        </w:rPr>
      </w:pPr>
      <w:r w:rsidRPr="0074551B">
        <w:rPr>
          <w:rFonts w:ascii="Times New Roman" w:hAnsi="Times New Roman" w:cs="ArialNarrow-Italic"/>
          <w:iCs/>
          <w:sz w:val="22"/>
          <w:szCs w:val="22"/>
        </w:rPr>
        <w:t>Stephen</w:t>
      </w:r>
      <w:r w:rsidR="00715734" w:rsidRPr="0074551B">
        <w:rPr>
          <w:rFonts w:ascii="Times New Roman" w:hAnsi="Times New Roman" w:cs="ArialNarrow-Italic"/>
          <w:iCs/>
          <w:sz w:val="22"/>
          <w:szCs w:val="22"/>
        </w:rPr>
        <w:t xml:space="preserve"> Amber</w:t>
      </w:r>
      <w:r w:rsidRPr="0074551B">
        <w:rPr>
          <w:rFonts w:ascii="Times New Roman" w:hAnsi="Times New Roman" w:cs="ArialNarrow-Italic"/>
          <w:iCs/>
          <w:sz w:val="22"/>
          <w:szCs w:val="22"/>
        </w:rPr>
        <w:t>g</w:t>
      </w:r>
    </w:p>
    <w:p w:rsidR="0074551B" w:rsidRPr="0074551B" w:rsidRDefault="0074551B" w:rsidP="0074551B">
      <w:pPr>
        <w:autoSpaceDE w:val="0"/>
        <w:autoSpaceDN w:val="0"/>
        <w:adjustRightInd w:val="0"/>
        <w:jc w:val="center"/>
        <w:rPr>
          <w:rFonts w:ascii="Times New Roman" w:hAnsi="Times New Roman" w:cs="ArialNarrow-Italic"/>
          <w:iCs/>
          <w:sz w:val="22"/>
          <w:szCs w:val="22"/>
        </w:rPr>
      </w:pPr>
    </w:p>
    <w:p w:rsidR="0074551B" w:rsidRPr="0074551B" w:rsidRDefault="0074551B" w:rsidP="0074551B">
      <w:pPr>
        <w:autoSpaceDE w:val="0"/>
        <w:autoSpaceDN w:val="0"/>
        <w:adjustRightInd w:val="0"/>
        <w:jc w:val="center"/>
        <w:rPr>
          <w:rFonts w:ascii="Times New Roman" w:hAnsi="Times New Roman" w:cs="ArialNarrow-Italic"/>
          <w:iCs/>
          <w:sz w:val="22"/>
          <w:szCs w:val="22"/>
        </w:rPr>
      </w:pPr>
      <w:r w:rsidRPr="0074551B">
        <w:rPr>
          <w:rFonts w:ascii="Times New Roman" w:hAnsi="Times New Roman" w:cs="ArialNarrow-Italic"/>
          <w:iCs/>
          <w:sz w:val="22"/>
          <w:szCs w:val="22"/>
        </w:rPr>
        <w:t>Department of Political Science</w:t>
      </w:r>
    </w:p>
    <w:p w:rsidR="0074551B" w:rsidRPr="0074551B" w:rsidRDefault="0074551B" w:rsidP="0074551B">
      <w:pPr>
        <w:autoSpaceDE w:val="0"/>
        <w:autoSpaceDN w:val="0"/>
        <w:adjustRightInd w:val="0"/>
        <w:jc w:val="center"/>
        <w:rPr>
          <w:rFonts w:ascii="Times New Roman" w:hAnsi="Times New Roman" w:cs="ArialNarrow-Italic"/>
          <w:iCs/>
          <w:sz w:val="22"/>
          <w:szCs w:val="22"/>
        </w:rPr>
      </w:pPr>
      <w:r w:rsidRPr="0074551B">
        <w:rPr>
          <w:rFonts w:ascii="Times New Roman" w:hAnsi="Times New Roman" w:cs="ArialNarrow-Italic"/>
          <w:iCs/>
          <w:sz w:val="22"/>
          <w:szCs w:val="22"/>
        </w:rPr>
        <w:t>University of Texas at San Antonio</w:t>
      </w:r>
    </w:p>
    <w:p w:rsidR="0074551B" w:rsidRDefault="0074551B" w:rsidP="0074551B">
      <w:pPr>
        <w:autoSpaceDE w:val="0"/>
        <w:autoSpaceDN w:val="0"/>
        <w:adjustRightInd w:val="0"/>
        <w:jc w:val="center"/>
        <w:rPr>
          <w:rFonts w:ascii="Times New Roman" w:hAnsi="Times New Roman" w:cs="ArialNarrow-Italic"/>
          <w:iCs/>
          <w:sz w:val="22"/>
          <w:szCs w:val="22"/>
        </w:rPr>
      </w:pPr>
      <w:r>
        <w:rPr>
          <w:rFonts w:ascii="Times New Roman" w:hAnsi="Times New Roman" w:cs="ArialNarrow-Italic"/>
          <w:iCs/>
          <w:sz w:val="22"/>
          <w:szCs w:val="22"/>
        </w:rPr>
        <w:t>One UTSA Circle</w:t>
      </w:r>
    </w:p>
    <w:p w:rsidR="0074551B" w:rsidRPr="0074551B" w:rsidRDefault="0074551B" w:rsidP="0074551B">
      <w:pPr>
        <w:autoSpaceDE w:val="0"/>
        <w:autoSpaceDN w:val="0"/>
        <w:adjustRightInd w:val="0"/>
        <w:jc w:val="center"/>
        <w:rPr>
          <w:rFonts w:ascii="Times New Roman" w:hAnsi="Times New Roman" w:cs="ArialNarrow-Italic"/>
          <w:iCs/>
          <w:sz w:val="22"/>
          <w:szCs w:val="22"/>
        </w:rPr>
      </w:pPr>
      <w:r w:rsidRPr="0074551B">
        <w:rPr>
          <w:rFonts w:ascii="Times New Roman" w:hAnsi="Times New Roman" w:cs="ArialNarrow-Italic"/>
          <w:iCs/>
          <w:sz w:val="22"/>
          <w:szCs w:val="22"/>
        </w:rPr>
        <w:t>San Antonio, Texas 78249-0648</w:t>
      </w:r>
    </w:p>
    <w:p w:rsidR="0074551B" w:rsidRPr="0074551B" w:rsidRDefault="0074551B" w:rsidP="0074551B">
      <w:pPr>
        <w:autoSpaceDE w:val="0"/>
        <w:autoSpaceDN w:val="0"/>
        <w:adjustRightInd w:val="0"/>
        <w:jc w:val="center"/>
        <w:rPr>
          <w:rFonts w:ascii="Times New Roman" w:hAnsi="Times New Roman" w:cs="ArialNarrow-Italic"/>
          <w:iCs/>
          <w:sz w:val="22"/>
          <w:szCs w:val="22"/>
        </w:rPr>
      </w:pPr>
      <w:r w:rsidRPr="0074551B">
        <w:rPr>
          <w:rFonts w:ascii="Times New Roman" w:hAnsi="Times New Roman" w:cs="ArialNarrow-Italic"/>
          <w:iCs/>
          <w:sz w:val="22"/>
          <w:szCs w:val="22"/>
        </w:rPr>
        <w:t>stephen.amberg@utsa.edu</w:t>
      </w:r>
    </w:p>
    <w:p w:rsidR="00513CA7" w:rsidRPr="0074551B" w:rsidRDefault="00513CA7" w:rsidP="00D03689">
      <w:pPr>
        <w:autoSpaceDE w:val="0"/>
        <w:autoSpaceDN w:val="0"/>
        <w:adjustRightInd w:val="0"/>
        <w:rPr>
          <w:rFonts w:ascii="Times New Roman" w:hAnsi="Times New Roman" w:cs="ArialNarrow-Italic"/>
          <w:i/>
          <w:iCs/>
          <w:sz w:val="22"/>
          <w:szCs w:val="22"/>
        </w:rPr>
      </w:pPr>
    </w:p>
    <w:p w:rsidR="0074551B" w:rsidRDefault="0074551B" w:rsidP="0074551B">
      <w:pPr>
        <w:autoSpaceDE w:val="0"/>
        <w:autoSpaceDN w:val="0"/>
        <w:adjustRightInd w:val="0"/>
        <w:rPr>
          <w:rFonts w:ascii="Times New Roman" w:hAnsi="Times New Roman" w:cs="ArialNarrow-Bold"/>
          <w:b/>
          <w:bCs/>
          <w:sz w:val="22"/>
        </w:rPr>
      </w:pPr>
    </w:p>
    <w:p w:rsidR="0074551B" w:rsidRPr="0074551B" w:rsidRDefault="0074551B" w:rsidP="0074551B">
      <w:pPr>
        <w:autoSpaceDE w:val="0"/>
        <w:autoSpaceDN w:val="0"/>
        <w:adjustRightInd w:val="0"/>
        <w:rPr>
          <w:rFonts w:ascii="Times New Roman" w:hAnsi="Times New Roman" w:cs="ArialNarrow-Bold"/>
          <w:b/>
          <w:bCs/>
          <w:sz w:val="22"/>
        </w:rPr>
      </w:pPr>
    </w:p>
    <w:p w:rsidR="00D92306" w:rsidRDefault="00D92306" w:rsidP="0074551B">
      <w:pPr>
        <w:autoSpaceDE w:val="0"/>
        <w:autoSpaceDN w:val="0"/>
        <w:adjustRightInd w:val="0"/>
        <w:jc w:val="center"/>
        <w:rPr>
          <w:rFonts w:ascii="Times New Roman" w:hAnsi="Times New Roman" w:cs="ArialNarrow-Bold"/>
          <w:bCs/>
          <w:sz w:val="22"/>
          <w:szCs w:val="20"/>
        </w:rPr>
      </w:pPr>
    </w:p>
    <w:p w:rsidR="00D92306" w:rsidRDefault="00D92306" w:rsidP="0074551B">
      <w:pPr>
        <w:autoSpaceDE w:val="0"/>
        <w:autoSpaceDN w:val="0"/>
        <w:adjustRightInd w:val="0"/>
        <w:jc w:val="center"/>
        <w:rPr>
          <w:rFonts w:ascii="Times New Roman" w:hAnsi="Times New Roman" w:cs="ArialNarrow-Bold"/>
          <w:bCs/>
          <w:sz w:val="22"/>
          <w:szCs w:val="20"/>
        </w:rPr>
      </w:pPr>
    </w:p>
    <w:p w:rsidR="00D92306" w:rsidRDefault="00D92306" w:rsidP="0074551B">
      <w:pPr>
        <w:autoSpaceDE w:val="0"/>
        <w:autoSpaceDN w:val="0"/>
        <w:adjustRightInd w:val="0"/>
        <w:jc w:val="center"/>
        <w:rPr>
          <w:rFonts w:ascii="Times New Roman" w:hAnsi="Times New Roman" w:cs="ArialNarrow-Bold"/>
          <w:bCs/>
          <w:sz w:val="22"/>
          <w:szCs w:val="20"/>
        </w:rPr>
      </w:pPr>
    </w:p>
    <w:p w:rsidR="0074551B" w:rsidRDefault="0074551B"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9815C9" w:rsidRDefault="009815C9" w:rsidP="0074551B">
      <w:pPr>
        <w:autoSpaceDE w:val="0"/>
        <w:autoSpaceDN w:val="0"/>
        <w:adjustRightInd w:val="0"/>
        <w:jc w:val="center"/>
        <w:rPr>
          <w:rFonts w:ascii="Times New Roman" w:hAnsi="Times New Roman" w:cs="ArialNarrow-Bold"/>
          <w:bCs/>
          <w:sz w:val="22"/>
          <w:szCs w:val="20"/>
        </w:rPr>
      </w:pPr>
    </w:p>
    <w:p w:rsidR="00D92306" w:rsidRDefault="00D92306" w:rsidP="00D92306">
      <w:pPr>
        <w:autoSpaceDE w:val="0"/>
        <w:autoSpaceDN w:val="0"/>
        <w:adjustRightInd w:val="0"/>
        <w:jc w:val="center"/>
        <w:rPr>
          <w:rFonts w:ascii="Times New Roman" w:hAnsi="Times New Roman" w:cs="ArialNarrow"/>
          <w:sz w:val="22"/>
          <w:szCs w:val="20"/>
        </w:rPr>
      </w:pPr>
      <w:r>
        <w:rPr>
          <w:rFonts w:ascii="Times New Roman" w:hAnsi="Times New Roman" w:cs="ArialNarrow-Italic"/>
          <w:iCs/>
          <w:sz w:val="22"/>
        </w:rPr>
        <w:t xml:space="preserve">Paper prepared for </w:t>
      </w:r>
      <w:r w:rsidRPr="0074551B">
        <w:rPr>
          <w:rFonts w:ascii="Times New Roman" w:hAnsi="Times New Roman" w:cs="ArialNarrow-Italic"/>
          <w:iCs/>
          <w:sz w:val="22"/>
        </w:rPr>
        <w:t>The Contours of the American State and the Making of Public Policy</w:t>
      </w:r>
      <w:r>
        <w:rPr>
          <w:rFonts w:ascii="Times New Roman" w:hAnsi="Times New Roman" w:cs="ArialNarrow-Italic"/>
          <w:iCs/>
          <w:sz w:val="22"/>
        </w:rPr>
        <w:t>,</w:t>
      </w:r>
      <w:r w:rsidRPr="0074551B">
        <w:rPr>
          <w:rFonts w:ascii="Times New Roman" w:hAnsi="Times New Roman" w:cs="ArialNarrow"/>
          <w:sz w:val="22"/>
          <w:szCs w:val="20"/>
        </w:rPr>
        <w:t xml:space="preserve"> </w:t>
      </w:r>
    </w:p>
    <w:p w:rsidR="00D92306" w:rsidRPr="0074551B" w:rsidRDefault="00D92306" w:rsidP="00D92306">
      <w:pPr>
        <w:autoSpaceDE w:val="0"/>
        <w:autoSpaceDN w:val="0"/>
        <w:adjustRightInd w:val="0"/>
        <w:jc w:val="center"/>
        <w:rPr>
          <w:rFonts w:ascii="Times New Roman" w:hAnsi="Times New Roman" w:cs="ArialNarrow-Italic"/>
          <w:iCs/>
          <w:sz w:val="22"/>
        </w:rPr>
      </w:pPr>
      <w:proofErr w:type="gramStart"/>
      <w:r>
        <w:rPr>
          <w:rFonts w:ascii="Times New Roman" w:hAnsi="Times New Roman" w:cs="ArialNarrow"/>
          <w:sz w:val="22"/>
          <w:szCs w:val="20"/>
        </w:rPr>
        <w:t>a</w:t>
      </w:r>
      <w:proofErr w:type="gramEnd"/>
      <w:r>
        <w:rPr>
          <w:rFonts w:ascii="Times New Roman" w:hAnsi="Times New Roman" w:cs="ArialNarrow"/>
          <w:sz w:val="22"/>
          <w:szCs w:val="20"/>
        </w:rPr>
        <w:t xml:space="preserve"> </w:t>
      </w:r>
      <w:r w:rsidRPr="0074551B">
        <w:rPr>
          <w:rFonts w:ascii="Times New Roman" w:hAnsi="Times New Roman" w:cs="ArialNarrow"/>
          <w:sz w:val="22"/>
          <w:szCs w:val="20"/>
        </w:rPr>
        <w:t xml:space="preserve">short course sponsored by the American Politics Group (Political Studies Association of the UK), the </w:t>
      </w:r>
      <w:proofErr w:type="spellStart"/>
      <w:r w:rsidRPr="0074551B">
        <w:rPr>
          <w:rFonts w:ascii="Times New Roman" w:hAnsi="Times New Roman" w:cs="ArialNarrow"/>
          <w:sz w:val="22"/>
          <w:szCs w:val="20"/>
        </w:rPr>
        <w:t>Rothermere</w:t>
      </w:r>
      <w:proofErr w:type="spellEnd"/>
      <w:r w:rsidRPr="0074551B">
        <w:rPr>
          <w:rFonts w:ascii="Times New Roman" w:hAnsi="Times New Roman" w:cs="ArialNarrow"/>
          <w:sz w:val="22"/>
          <w:szCs w:val="20"/>
        </w:rPr>
        <w:t xml:space="preserve"> American Ins</w:t>
      </w:r>
      <w:r>
        <w:rPr>
          <w:rFonts w:ascii="Times New Roman" w:hAnsi="Times New Roman" w:cs="ArialNarrow"/>
          <w:sz w:val="22"/>
          <w:szCs w:val="20"/>
        </w:rPr>
        <w:t>titute (University of Oxford</w:t>
      </w:r>
      <w:r w:rsidRPr="0074551B">
        <w:rPr>
          <w:rFonts w:ascii="Times New Roman" w:hAnsi="Times New Roman" w:cs="ArialNarrow"/>
          <w:sz w:val="22"/>
          <w:szCs w:val="20"/>
        </w:rPr>
        <w:t>)</w:t>
      </w:r>
      <w:r>
        <w:rPr>
          <w:rFonts w:ascii="Times New Roman" w:hAnsi="Times New Roman" w:cs="ArialNarrow"/>
          <w:sz w:val="22"/>
          <w:szCs w:val="20"/>
        </w:rPr>
        <w:t>,</w:t>
      </w:r>
      <w:r w:rsidRPr="0074551B">
        <w:rPr>
          <w:rFonts w:ascii="Times New Roman" w:hAnsi="Times New Roman" w:cs="ArialNarrow"/>
          <w:sz w:val="22"/>
          <w:szCs w:val="20"/>
        </w:rPr>
        <w:t xml:space="preserve"> and the Eccles Centre for American Studies (British Libra</w:t>
      </w:r>
      <w:r>
        <w:rPr>
          <w:rFonts w:ascii="Times New Roman" w:hAnsi="Times New Roman" w:cs="ArialNarrow"/>
          <w:sz w:val="22"/>
          <w:szCs w:val="20"/>
        </w:rPr>
        <w:t>ry</w:t>
      </w:r>
      <w:r w:rsidRPr="0074551B">
        <w:rPr>
          <w:rFonts w:ascii="Times New Roman" w:hAnsi="Times New Roman" w:cs="ArialNarrow"/>
          <w:sz w:val="22"/>
          <w:szCs w:val="20"/>
        </w:rPr>
        <w:t>)</w:t>
      </w:r>
      <w:r>
        <w:rPr>
          <w:rFonts w:ascii="Times New Roman" w:hAnsi="Times New Roman" w:cs="ArialNarrow"/>
          <w:sz w:val="22"/>
          <w:szCs w:val="20"/>
        </w:rPr>
        <w:t>.</w:t>
      </w:r>
    </w:p>
    <w:p w:rsidR="00D92306" w:rsidRDefault="00D92306" w:rsidP="0074551B">
      <w:pPr>
        <w:autoSpaceDE w:val="0"/>
        <w:autoSpaceDN w:val="0"/>
        <w:adjustRightInd w:val="0"/>
        <w:jc w:val="center"/>
        <w:rPr>
          <w:rFonts w:ascii="Times New Roman" w:hAnsi="Times New Roman" w:cs="ArialNarrow-Bold"/>
          <w:bCs/>
          <w:sz w:val="22"/>
          <w:szCs w:val="20"/>
        </w:rPr>
      </w:pPr>
    </w:p>
    <w:p w:rsidR="0074551B" w:rsidRDefault="0074551B" w:rsidP="0074551B">
      <w:pPr>
        <w:autoSpaceDE w:val="0"/>
        <w:autoSpaceDN w:val="0"/>
        <w:adjustRightInd w:val="0"/>
        <w:jc w:val="center"/>
        <w:rPr>
          <w:rFonts w:ascii="Times New Roman" w:hAnsi="Times New Roman" w:cs="ArialNarrow-Bold"/>
          <w:bCs/>
          <w:sz w:val="22"/>
          <w:szCs w:val="20"/>
        </w:rPr>
      </w:pPr>
      <w:r w:rsidRPr="0074551B">
        <w:rPr>
          <w:rFonts w:ascii="Times New Roman" w:hAnsi="Times New Roman" w:cs="ArialNarrow-Bold"/>
          <w:bCs/>
          <w:sz w:val="22"/>
          <w:szCs w:val="20"/>
        </w:rPr>
        <w:t>Wednesday, August 29, 2012</w:t>
      </w:r>
    </w:p>
    <w:p w:rsidR="0074551B" w:rsidRPr="0074551B" w:rsidRDefault="0074551B" w:rsidP="0074551B">
      <w:pPr>
        <w:autoSpaceDE w:val="0"/>
        <w:autoSpaceDN w:val="0"/>
        <w:adjustRightInd w:val="0"/>
        <w:jc w:val="center"/>
        <w:rPr>
          <w:rFonts w:ascii="Times New Roman" w:hAnsi="Times New Roman" w:cs="ArialNarrow-Bold"/>
          <w:bCs/>
          <w:sz w:val="22"/>
          <w:szCs w:val="20"/>
        </w:rPr>
      </w:pPr>
    </w:p>
    <w:p w:rsidR="0074551B" w:rsidRPr="0074551B" w:rsidRDefault="0074551B" w:rsidP="0074551B">
      <w:pPr>
        <w:jc w:val="center"/>
        <w:rPr>
          <w:rFonts w:ascii="Times New Roman" w:hAnsi="Times New Roman"/>
          <w:sz w:val="22"/>
          <w:szCs w:val="20"/>
        </w:rPr>
      </w:pPr>
      <w:proofErr w:type="spellStart"/>
      <w:r w:rsidRPr="0074551B">
        <w:rPr>
          <w:rFonts w:ascii="Times New Roman" w:hAnsi="Times New Roman" w:cs="ArialNarrow-Italic"/>
          <w:i/>
          <w:iCs/>
          <w:sz w:val="22"/>
          <w:szCs w:val="20"/>
        </w:rPr>
        <w:t>Borgne</w:t>
      </w:r>
      <w:proofErr w:type="spellEnd"/>
      <w:r w:rsidRPr="0074551B">
        <w:rPr>
          <w:rFonts w:ascii="Times New Roman" w:hAnsi="Times New Roman" w:cs="ArialNarrow-Italic"/>
          <w:i/>
          <w:iCs/>
          <w:sz w:val="22"/>
          <w:szCs w:val="20"/>
        </w:rPr>
        <w:t>, Sheraton New Orleans Hotel, 500 Canal Street · New Orleans, LA 70130</w:t>
      </w:r>
    </w:p>
    <w:p w:rsidR="0074551B" w:rsidRPr="0074551B" w:rsidRDefault="0074551B">
      <w:pPr>
        <w:rPr>
          <w:rFonts w:ascii="Times New Roman" w:hAnsi="Times New Roman"/>
          <w:sz w:val="22"/>
        </w:rPr>
      </w:pPr>
    </w:p>
    <w:p w:rsidR="0074551B" w:rsidRDefault="0074551B"/>
    <w:p w:rsidR="0074551B" w:rsidRDefault="0074551B"/>
    <w:p w:rsidR="0074551B" w:rsidRDefault="0074551B"/>
    <w:p w:rsidR="0074551B" w:rsidRDefault="0074551B"/>
    <w:p w:rsidR="0074551B" w:rsidRDefault="0074551B"/>
    <w:p w:rsidR="0074551B" w:rsidRDefault="0074551B"/>
    <w:p w:rsidR="0074551B" w:rsidRDefault="0074551B"/>
    <w:p w:rsidR="0074551B" w:rsidRDefault="0074551B"/>
    <w:p w:rsidR="00AA0472" w:rsidRDefault="00937BB0" w:rsidP="009D630B">
      <w:r>
        <w:t xml:space="preserve"> </w:t>
      </w:r>
    </w:p>
    <w:p w:rsidR="009D02D0" w:rsidRPr="006B3D8E" w:rsidRDefault="002D32AD" w:rsidP="009D02D0">
      <w:pPr>
        <w:spacing w:line="480" w:lineRule="auto"/>
        <w:ind w:firstLine="720"/>
        <w:rPr>
          <w:sz w:val="22"/>
          <w:szCs w:val="22"/>
        </w:rPr>
      </w:pPr>
      <w:r w:rsidRPr="006B3D8E">
        <w:rPr>
          <w:sz w:val="22"/>
          <w:szCs w:val="22"/>
        </w:rPr>
        <w:t>I want to raise some questions about a</w:t>
      </w:r>
      <w:r w:rsidR="007C6C0B" w:rsidRPr="006B3D8E">
        <w:rPr>
          <w:sz w:val="22"/>
          <w:szCs w:val="22"/>
        </w:rPr>
        <w:t xml:space="preserve"> chief matter of concern for political scientists</w:t>
      </w:r>
      <w:r w:rsidRPr="006B3D8E">
        <w:rPr>
          <w:sz w:val="22"/>
          <w:szCs w:val="22"/>
        </w:rPr>
        <w:t>, namely</w:t>
      </w:r>
      <w:r w:rsidR="007C6C0B" w:rsidRPr="006B3D8E">
        <w:rPr>
          <w:sz w:val="22"/>
          <w:szCs w:val="22"/>
        </w:rPr>
        <w:t xml:space="preserve"> civics:  how citizens self-govern.  </w:t>
      </w:r>
      <w:r w:rsidR="00665954" w:rsidRPr="006B3D8E">
        <w:rPr>
          <w:sz w:val="22"/>
          <w:szCs w:val="22"/>
        </w:rPr>
        <w:t xml:space="preserve"> </w:t>
      </w:r>
      <w:r w:rsidR="00F07057">
        <w:rPr>
          <w:sz w:val="22"/>
          <w:szCs w:val="22"/>
        </w:rPr>
        <w:t>Many p</w:t>
      </w:r>
      <w:r w:rsidR="00285A8A" w:rsidRPr="006B3D8E">
        <w:rPr>
          <w:sz w:val="22"/>
          <w:szCs w:val="22"/>
        </w:rPr>
        <w:t xml:space="preserve">olitical scientists – like most sociologists and economists – favor explanations that </w:t>
      </w:r>
      <w:r w:rsidR="00937BB0" w:rsidRPr="006B3D8E">
        <w:rPr>
          <w:sz w:val="22"/>
          <w:szCs w:val="22"/>
        </w:rPr>
        <w:t xml:space="preserve">use institutions to </w:t>
      </w:r>
      <w:r w:rsidR="00285A8A" w:rsidRPr="006B3D8E">
        <w:rPr>
          <w:sz w:val="22"/>
          <w:szCs w:val="22"/>
        </w:rPr>
        <w:t xml:space="preserve">fix and predict </w:t>
      </w:r>
      <w:r w:rsidRPr="006B3D8E">
        <w:rPr>
          <w:sz w:val="22"/>
          <w:szCs w:val="22"/>
        </w:rPr>
        <w:t xml:space="preserve">citizen </w:t>
      </w:r>
      <w:r w:rsidR="00937BB0" w:rsidRPr="006B3D8E">
        <w:rPr>
          <w:sz w:val="22"/>
          <w:szCs w:val="22"/>
        </w:rPr>
        <w:t>behaviors; individuals act within an institutional context</w:t>
      </w:r>
      <w:r w:rsidR="00285A8A" w:rsidRPr="006B3D8E">
        <w:rPr>
          <w:sz w:val="22"/>
          <w:szCs w:val="22"/>
        </w:rPr>
        <w:t xml:space="preserve">.  </w:t>
      </w:r>
      <w:r w:rsidR="00440593" w:rsidRPr="006B3D8E">
        <w:rPr>
          <w:sz w:val="22"/>
          <w:szCs w:val="22"/>
        </w:rPr>
        <w:t>It’s a well-ordered universe.  Either behavior is controlled by r</w:t>
      </w:r>
      <w:r w:rsidR="00285A8A" w:rsidRPr="006B3D8E">
        <w:rPr>
          <w:sz w:val="22"/>
          <w:szCs w:val="22"/>
        </w:rPr>
        <w:t>ules and incentives backed by authority to impo</w:t>
      </w:r>
      <w:r w:rsidR="00665954" w:rsidRPr="006B3D8E">
        <w:rPr>
          <w:sz w:val="22"/>
          <w:szCs w:val="22"/>
        </w:rPr>
        <w:t xml:space="preserve">se compliance or, in more sociological accounts, </w:t>
      </w:r>
      <w:r w:rsidR="00440593" w:rsidRPr="006B3D8E">
        <w:rPr>
          <w:sz w:val="22"/>
          <w:szCs w:val="22"/>
        </w:rPr>
        <w:t xml:space="preserve">behavior is embedded in cultural norms </w:t>
      </w:r>
      <w:r w:rsidR="0063261E" w:rsidRPr="006B3D8E">
        <w:rPr>
          <w:sz w:val="22"/>
          <w:szCs w:val="22"/>
        </w:rPr>
        <w:t xml:space="preserve">and </w:t>
      </w:r>
      <w:r w:rsidR="00CD2A06">
        <w:rPr>
          <w:sz w:val="22"/>
          <w:szCs w:val="22"/>
        </w:rPr>
        <w:t xml:space="preserve">social </w:t>
      </w:r>
      <w:r w:rsidR="0063261E" w:rsidRPr="006B3D8E">
        <w:rPr>
          <w:sz w:val="22"/>
          <w:szCs w:val="22"/>
        </w:rPr>
        <w:t xml:space="preserve">roles </w:t>
      </w:r>
      <w:r w:rsidR="00440593" w:rsidRPr="006B3D8E">
        <w:rPr>
          <w:sz w:val="22"/>
          <w:szCs w:val="22"/>
        </w:rPr>
        <w:t xml:space="preserve">that individuals unwittingly enact.  The one invests the state with paramount powers to </w:t>
      </w:r>
      <w:r w:rsidRPr="006B3D8E">
        <w:rPr>
          <w:sz w:val="22"/>
          <w:szCs w:val="22"/>
        </w:rPr>
        <w:t>guide and shift citizens</w:t>
      </w:r>
      <w:r w:rsidR="00440593" w:rsidRPr="006B3D8E">
        <w:rPr>
          <w:sz w:val="22"/>
          <w:szCs w:val="22"/>
        </w:rPr>
        <w:t xml:space="preserve"> a</w:t>
      </w:r>
      <w:r w:rsidR="00937BB0" w:rsidRPr="006B3D8E">
        <w:rPr>
          <w:sz w:val="22"/>
          <w:szCs w:val="22"/>
        </w:rPr>
        <w:t xml:space="preserve">nd the other </w:t>
      </w:r>
      <w:proofErr w:type="gramStart"/>
      <w:r w:rsidR="00937BB0" w:rsidRPr="006B3D8E">
        <w:rPr>
          <w:sz w:val="22"/>
          <w:szCs w:val="22"/>
        </w:rPr>
        <w:t>invokes</w:t>
      </w:r>
      <w:proofErr w:type="gramEnd"/>
      <w:r w:rsidR="00937BB0" w:rsidRPr="006B3D8E">
        <w:rPr>
          <w:sz w:val="22"/>
          <w:szCs w:val="22"/>
        </w:rPr>
        <w:t xml:space="preserve"> a durable</w:t>
      </w:r>
      <w:r w:rsidR="00665954" w:rsidRPr="006B3D8E">
        <w:rPr>
          <w:sz w:val="22"/>
          <w:szCs w:val="22"/>
        </w:rPr>
        <w:t xml:space="preserve"> society </w:t>
      </w:r>
      <w:r w:rsidR="007B636E" w:rsidRPr="006B3D8E">
        <w:rPr>
          <w:sz w:val="22"/>
          <w:szCs w:val="22"/>
        </w:rPr>
        <w:t>compulsively following established</w:t>
      </w:r>
      <w:r w:rsidR="00440593" w:rsidRPr="006B3D8E">
        <w:rPr>
          <w:sz w:val="22"/>
          <w:szCs w:val="22"/>
        </w:rPr>
        <w:t xml:space="preserve"> paths.  In both scenarios, individual </w:t>
      </w:r>
      <w:r w:rsidR="00F07057">
        <w:rPr>
          <w:sz w:val="22"/>
          <w:szCs w:val="22"/>
        </w:rPr>
        <w:t>citizen</w:t>
      </w:r>
      <w:r w:rsidR="00672208" w:rsidRPr="006B3D8E">
        <w:rPr>
          <w:sz w:val="22"/>
          <w:szCs w:val="22"/>
        </w:rPr>
        <w:t xml:space="preserve"> </w:t>
      </w:r>
      <w:r w:rsidR="00440593" w:rsidRPr="006B3D8E">
        <w:rPr>
          <w:sz w:val="22"/>
          <w:szCs w:val="22"/>
        </w:rPr>
        <w:t>agenc</w:t>
      </w:r>
      <w:r w:rsidR="00937BB0" w:rsidRPr="006B3D8E">
        <w:rPr>
          <w:sz w:val="22"/>
          <w:szCs w:val="22"/>
        </w:rPr>
        <w:t>y is sharply circumscribed.   C</w:t>
      </w:r>
      <w:r w:rsidR="00440593" w:rsidRPr="006B3D8E">
        <w:rPr>
          <w:sz w:val="22"/>
          <w:szCs w:val="22"/>
        </w:rPr>
        <w:t xml:space="preserve">hange – when it occurs – is </w:t>
      </w:r>
      <w:r w:rsidR="00F07057">
        <w:rPr>
          <w:sz w:val="22"/>
          <w:szCs w:val="22"/>
        </w:rPr>
        <w:t xml:space="preserve">usually </w:t>
      </w:r>
      <w:r w:rsidR="00440593" w:rsidRPr="006B3D8E">
        <w:rPr>
          <w:sz w:val="22"/>
          <w:szCs w:val="22"/>
        </w:rPr>
        <w:t xml:space="preserve">attributed to structural shifts that disrupt the smooth reproduction of government. </w:t>
      </w:r>
      <w:r w:rsidRPr="006B3D8E">
        <w:rPr>
          <w:sz w:val="22"/>
          <w:szCs w:val="22"/>
        </w:rPr>
        <w:t xml:space="preserve"> It’s</w:t>
      </w:r>
      <w:r w:rsidR="007B636E" w:rsidRPr="006B3D8E">
        <w:rPr>
          <w:sz w:val="22"/>
          <w:szCs w:val="22"/>
        </w:rPr>
        <w:t xml:space="preserve"> hard to see any self-governing</w:t>
      </w:r>
      <w:r w:rsidRPr="006B3D8E">
        <w:rPr>
          <w:sz w:val="22"/>
          <w:szCs w:val="22"/>
        </w:rPr>
        <w:t xml:space="preserve"> going on</w:t>
      </w:r>
      <w:r w:rsidR="0063261E" w:rsidRPr="006B3D8E">
        <w:rPr>
          <w:sz w:val="22"/>
          <w:szCs w:val="22"/>
        </w:rPr>
        <w:t xml:space="preserve">.  </w:t>
      </w:r>
      <w:r w:rsidR="00672208" w:rsidRPr="006B3D8E">
        <w:rPr>
          <w:sz w:val="22"/>
          <w:szCs w:val="22"/>
        </w:rPr>
        <w:t>I think that’s righ</w:t>
      </w:r>
      <w:r w:rsidR="0063261E" w:rsidRPr="006B3D8E">
        <w:rPr>
          <w:sz w:val="22"/>
          <w:szCs w:val="22"/>
        </w:rPr>
        <w:t xml:space="preserve">t:  self-government is problematic. </w:t>
      </w:r>
      <w:r w:rsidR="007B636E" w:rsidRPr="006B3D8E">
        <w:rPr>
          <w:sz w:val="22"/>
          <w:szCs w:val="22"/>
        </w:rPr>
        <w:t xml:space="preserve"> </w:t>
      </w:r>
      <w:r w:rsidR="00937BB0" w:rsidRPr="006B3D8E">
        <w:rPr>
          <w:sz w:val="22"/>
          <w:szCs w:val="22"/>
        </w:rPr>
        <w:t>B</w:t>
      </w:r>
      <w:r w:rsidR="00377A0F" w:rsidRPr="006B3D8E">
        <w:rPr>
          <w:sz w:val="22"/>
          <w:szCs w:val="22"/>
        </w:rPr>
        <w:t xml:space="preserve">ut part of the problem is how we study politics; our conceptions don’t enable us to see that there’s a lot of self-government going on.  </w:t>
      </w:r>
    </w:p>
    <w:p w:rsidR="00672208" w:rsidRPr="006B3D8E" w:rsidRDefault="00665954" w:rsidP="009D02D0">
      <w:pPr>
        <w:spacing w:line="480" w:lineRule="auto"/>
        <w:ind w:firstLine="720"/>
        <w:rPr>
          <w:sz w:val="22"/>
          <w:szCs w:val="22"/>
        </w:rPr>
      </w:pPr>
      <w:r w:rsidRPr="006B3D8E">
        <w:rPr>
          <w:sz w:val="22"/>
          <w:szCs w:val="22"/>
        </w:rPr>
        <w:t>Self-gove</w:t>
      </w:r>
      <w:r w:rsidR="00F07057">
        <w:rPr>
          <w:sz w:val="22"/>
          <w:szCs w:val="22"/>
        </w:rPr>
        <w:t xml:space="preserve">rnment is overflowing the </w:t>
      </w:r>
      <w:r w:rsidRPr="006B3D8E">
        <w:rPr>
          <w:sz w:val="22"/>
          <w:szCs w:val="22"/>
        </w:rPr>
        <w:t>concep</w:t>
      </w:r>
      <w:r w:rsidR="00672208" w:rsidRPr="006B3D8E">
        <w:rPr>
          <w:sz w:val="22"/>
          <w:szCs w:val="22"/>
        </w:rPr>
        <w:t>tion of institutions as the cause</w:t>
      </w:r>
      <w:r w:rsidR="00F07057">
        <w:rPr>
          <w:sz w:val="22"/>
          <w:szCs w:val="22"/>
        </w:rPr>
        <w:t xml:space="preserve"> of action.  Recently in the U.S. we’ve seen</w:t>
      </w:r>
      <w:r w:rsidRPr="006B3D8E">
        <w:rPr>
          <w:sz w:val="22"/>
          <w:szCs w:val="22"/>
        </w:rPr>
        <w:t xml:space="preserve"> </w:t>
      </w:r>
      <w:r w:rsidR="007B3B88" w:rsidRPr="006B3D8E">
        <w:rPr>
          <w:sz w:val="22"/>
          <w:szCs w:val="22"/>
        </w:rPr>
        <w:t>the reversa</w:t>
      </w:r>
      <w:r w:rsidR="009D02D0" w:rsidRPr="006B3D8E">
        <w:rPr>
          <w:sz w:val="22"/>
          <w:szCs w:val="22"/>
        </w:rPr>
        <w:t>l of public employment labor institutions in Wisconsin</w:t>
      </w:r>
      <w:r w:rsidR="007B3B88" w:rsidRPr="006B3D8E">
        <w:rPr>
          <w:sz w:val="22"/>
          <w:szCs w:val="22"/>
        </w:rPr>
        <w:t>, Tea Party-type</w:t>
      </w:r>
      <w:r w:rsidR="009D02D0" w:rsidRPr="006B3D8E">
        <w:rPr>
          <w:sz w:val="22"/>
          <w:szCs w:val="22"/>
        </w:rPr>
        <w:t xml:space="preserve"> opposition to public services</w:t>
      </w:r>
      <w:r w:rsidRPr="006B3D8E">
        <w:rPr>
          <w:sz w:val="22"/>
          <w:szCs w:val="22"/>
        </w:rPr>
        <w:t xml:space="preserve"> (such as government-supported home mortgages and public schools, including the privatization of schools in New Orleans), </w:t>
      </w:r>
      <w:r w:rsidR="007B3B88" w:rsidRPr="006B3D8E">
        <w:rPr>
          <w:sz w:val="22"/>
          <w:szCs w:val="22"/>
        </w:rPr>
        <w:t xml:space="preserve">the emergence of the filibuster as a routine technique in the Senate, </w:t>
      </w:r>
      <w:r w:rsidR="00C25EB5" w:rsidRPr="006B3D8E">
        <w:rPr>
          <w:sz w:val="22"/>
          <w:szCs w:val="22"/>
        </w:rPr>
        <w:t>the rapid growth of income inequality between the top 1% and the 99%, a</w:t>
      </w:r>
      <w:r w:rsidRPr="006B3D8E">
        <w:rPr>
          <w:sz w:val="22"/>
          <w:szCs w:val="22"/>
        </w:rPr>
        <w:t>nd the use of 501(c) corpo</w:t>
      </w:r>
      <w:r w:rsidR="007B3B88" w:rsidRPr="006B3D8E">
        <w:rPr>
          <w:sz w:val="22"/>
          <w:szCs w:val="22"/>
        </w:rPr>
        <w:t xml:space="preserve">rations for partisan politics, </w:t>
      </w:r>
      <w:r w:rsidRPr="006B3D8E">
        <w:rPr>
          <w:i/>
          <w:sz w:val="22"/>
          <w:szCs w:val="22"/>
        </w:rPr>
        <w:t>but also</w:t>
      </w:r>
      <w:r w:rsidRPr="006B3D8E">
        <w:rPr>
          <w:sz w:val="22"/>
          <w:szCs w:val="22"/>
        </w:rPr>
        <w:t xml:space="preserve"> the </w:t>
      </w:r>
      <w:r w:rsidR="009D02D0" w:rsidRPr="006B3D8E">
        <w:rPr>
          <w:sz w:val="22"/>
          <w:szCs w:val="22"/>
        </w:rPr>
        <w:t xml:space="preserve">successful </w:t>
      </w:r>
      <w:r w:rsidRPr="006B3D8E">
        <w:rPr>
          <w:sz w:val="22"/>
          <w:szCs w:val="22"/>
        </w:rPr>
        <w:t xml:space="preserve">rescue of the auto industry, the Federal Reserve’s successful prevention of a new Great Depression, the re-federalization of student loan programs, rising voter turnout in the last three presidential elections after decades of </w:t>
      </w:r>
      <w:r w:rsidRPr="006B3D8E">
        <w:rPr>
          <w:sz w:val="22"/>
          <w:szCs w:val="22"/>
        </w:rPr>
        <w:lastRenderedPageBreak/>
        <w:t xml:space="preserve">decline, </w:t>
      </w:r>
      <w:proofErr w:type="spellStart"/>
      <w:r w:rsidRPr="006B3D8E">
        <w:rPr>
          <w:sz w:val="22"/>
          <w:szCs w:val="22"/>
        </w:rPr>
        <w:t>Obamacare</w:t>
      </w:r>
      <w:proofErr w:type="spellEnd"/>
      <w:r w:rsidRPr="006B3D8E">
        <w:rPr>
          <w:sz w:val="22"/>
          <w:szCs w:val="22"/>
        </w:rPr>
        <w:t xml:space="preserve">, </w:t>
      </w:r>
      <w:r w:rsidR="00F07057">
        <w:rPr>
          <w:sz w:val="22"/>
          <w:szCs w:val="22"/>
        </w:rPr>
        <w:t>Occupy Wall Street</w:t>
      </w:r>
      <w:r w:rsidR="006744F7" w:rsidRPr="006B3D8E">
        <w:rPr>
          <w:sz w:val="22"/>
          <w:szCs w:val="22"/>
        </w:rPr>
        <w:t xml:space="preserve">, </w:t>
      </w:r>
      <w:r w:rsidRPr="006B3D8E">
        <w:rPr>
          <w:sz w:val="22"/>
          <w:szCs w:val="22"/>
        </w:rPr>
        <w:t xml:space="preserve">and so on. </w:t>
      </w:r>
      <w:r w:rsidR="007B3B88" w:rsidRPr="006B3D8E">
        <w:rPr>
          <w:sz w:val="22"/>
          <w:szCs w:val="22"/>
        </w:rPr>
        <w:t xml:space="preserve"> These are all novelties</w:t>
      </w:r>
      <w:r w:rsidR="00C25EB5" w:rsidRPr="006B3D8E">
        <w:rPr>
          <w:sz w:val="22"/>
          <w:szCs w:val="22"/>
        </w:rPr>
        <w:t xml:space="preserve"> of civic affairs</w:t>
      </w:r>
      <w:r w:rsidR="009D02D0" w:rsidRPr="006B3D8E">
        <w:rPr>
          <w:sz w:val="22"/>
          <w:szCs w:val="22"/>
        </w:rPr>
        <w:t xml:space="preserve"> that are </w:t>
      </w:r>
      <w:r w:rsidR="00F07057">
        <w:rPr>
          <w:sz w:val="22"/>
          <w:szCs w:val="22"/>
        </w:rPr>
        <w:t xml:space="preserve">not </w:t>
      </w:r>
      <w:r w:rsidR="009D02D0" w:rsidRPr="006B3D8E">
        <w:rPr>
          <w:sz w:val="22"/>
          <w:szCs w:val="22"/>
        </w:rPr>
        <w:t>easily explained by</w:t>
      </w:r>
      <w:r w:rsidR="00F07057">
        <w:rPr>
          <w:sz w:val="22"/>
          <w:szCs w:val="22"/>
        </w:rPr>
        <w:t xml:space="preserve"> settled</w:t>
      </w:r>
      <w:r w:rsidR="00C25EB5" w:rsidRPr="006B3D8E">
        <w:rPr>
          <w:sz w:val="22"/>
          <w:szCs w:val="22"/>
        </w:rPr>
        <w:t xml:space="preserve"> conce</w:t>
      </w:r>
      <w:r w:rsidR="00F07057">
        <w:rPr>
          <w:sz w:val="22"/>
          <w:szCs w:val="22"/>
        </w:rPr>
        <w:t>pts like weak</w:t>
      </w:r>
      <w:r w:rsidR="009D02D0" w:rsidRPr="006B3D8E">
        <w:rPr>
          <w:sz w:val="22"/>
          <w:szCs w:val="22"/>
        </w:rPr>
        <w:t xml:space="preserve"> st</w:t>
      </w:r>
      <w:r w:rsidR="00F07057">
        <w:rPr>
          <w:sz w:val="22"/>
          <w:szCs w:val="22"/>
        </w:rPr>
        <w:t>ate,</w:t>
      </w:r>
      <w:r w:rsidR="009D02D0" w:rsidRPr="006B3D8E">
        <w:rPr>
          <w:sz w:val="22"/>
          <w:szCs w:val="22"/>
        </w:rPr>
        <w:t xml:space="preserve"> strong</w:t>
      </w:r>
      <w:r w:rsidR="00505810" w:rsidRPr="006B3D8E">
        <w:rPr>
          <w:sz w:val="22"/>
          <w:szCs w:val="22"/>
        </w:rPr>
        <w:t xml:space="preserve"> </w:t>
      </w:r>
      <w:r w:rsidR="009D02D0" w:rsidRPr="006B3D8E">
        <w:rPr>
          <w:sz w:val="22"/>
          <w:szCs w:val="22"/>
        </w:rPr>
        <w:t>nation</w:t>
      </w:r>
      <w:r w:rsidR="00C25EB5" w:rsidRPr="006B3D8E">
        <w:rPr>
          <w:sz w:val="22"/>
          <w:szCs w:val="22"/>
        </w:rPr>
        <w:t xml:space="preserve">, liberal market economy, </w:t>
      </w:r>
      <w:proofErr w:type="spellStart"/>
      <w:r w:rsidR="00C25EB5" w:rsidRPr="006B3D8E">
        <w:rPr>
          <w:sz w:val="22"/>
          <w:szCs w:val="22"/>
        </w:rPr>
        <w:t>Madisonian</w:t>
      </w:r>
      <w:proofErr w:type="spellEnd"/>
      <w:r w:rsidR="00C25EB5" w:rsidRPr="006B3D8E">
        <w:rPr>
          <w:sz w:val="22"/>
          <w:szCs w:val="22"/>
        </w:rPr>
        <w:t xml:space="preserve"> Constitution, center-right political culture, S</w:t>
      </w:r>
      <w:r w:rsidR="00672208" w:rsidRPr="006B3D8E">
        <w:rPr>
          <w:sz w:val="22"/>
          <w:szCs w:val="22"/>
        </w:rPr>
        <w:t>outhern Politics</w:t>
      </w:r>
      <w:r w:rsidR="00C25EB5" w:rsidRPr="006B3D8E">
        <w:rPr>
          <w:sz w:val="22"/>
          <w:szCs w:val="22"/>
        </w:rPr>
        <w:t xml:space="preserve">, </w:t>
      </w:r>
      <w:r w:rsidR="00F07057">
        <w:rPr>
          <w:sz w:val="22"/>
          <w:szCs w:val="22"/>
        </w:rPr>
        <w:t xml:space="preserve">the </w:t>
      </w:r>
      <w:r w:rsidR="00C25EB5" w:rsidRPr="006B3D8E">
        <w:rPr>
          <w:sz w:val="22"/>
          <w:szCs w:val="22"/>
        </w:rPr>
        <w:t xml:space="preserve">Three Traditions, </w:t>
      </w:r>
      <w:r w:rsidR="00F07057">
        <w:rPr>
          <w:sz w:val="22"/>
          <w:szCs w:val="22"/>
        </w:rPr>
        <w:t>and the logic of plurality election rules</w:t>
      </w:r>
      <w:r w:rsidR="009D02D0" w:rsidRPr="006B3D8E">
        <w:rPr>
          <w:sz w:val="22"/>
          <w:szCs w:val="22"/>
        </w:rPr>
        <w:t>.</w:t>
      </w:r>
      <w:r w:rsidR="00F07057">
        <w:rPr>
          <w:sz w:val="22"/>
          <w:szCs w:val="22"/>
        </w:rPr>
        <w:t xml:space="preserve">  Perhaps we’ve prematurely settled our accounts of political reality. </w:t>
      </w:r>
      <w:r w:rsidR="00505810" w:rsidRPr="006B3D8E">
        <w:rPr>
          <w:sz w:val="22"/>
          <w:szCs w:val="22"/>
        </w:rPr>
        <w:t xml:space="preserve">  </w:t>
      </w:r>
    </w:p>
    <w:p w:rsidR="00A703A2" w:rsidRPr="006B3D8E" w:rsidRDefault="00672208" w:rsidP="00937BB0">
      <w:pPr>
        <w:spacing w:line="480" w:lineRule="auto"/>
        <w:ind w:firstLine="720"/>
        <w:rPr>
          <w:sz w:val="22"/>
          <w:szCs w:val="22"/>
        </w:rPr>
      </w:pPr>
      <w:r w:rsidRPr="006B3D8E">
        <w:rPr>
          <w:sz w:val="22"/>
          <w:szCs w:val="22"/>
        </w:rPr>
        <w:t>S</w:t>
      </w:r>
      <w:r w:rsidR="007B636E" w:rsidRPr="006B3D8E">
        <w:rPr>
          <w:sz w:val="22"/>
          <w:szCs w:val="22"/>
        </w:rPr>
        <w:t>imilar observations</w:t>
      </w:r>
      <w:r w:rsidR="00377A0F" w:rsidRPr="006B3D8E">
        <w:rPr>
          <w:sz w:val="22"/>
          <w:szCs w:val="22"/>
        </w:rPr>
        <w:t xml:space="preserve"> </w:t>
      </w:r>
      <w:r w:rsidR="00F07057">
        <w:rPr>
          <w:sz w:val="22"/>
          <w:szCs w:val="22"/>
        </w:rPr>
        <w:t xml:space="preserve">to mine </w:t>
      </w:r>
      <w:r w:rsidR="00377A0F" w:rsidRPr="006B3D8E">
        <w:rPr>
          <w:sz w:val="22"/>
          <w:szCs w:val="22"/>
        </w:rPr>
        <w:t>about the deter</w:t>
      </w:r>
      <w:r w:rsidR="00E70D07" w:rsidRPr="006B3D8E">
        <w:rPr>
          <w:sz w:val="22"/>
          <w:szCs w:val="22"/>
        </w:rPr>
        <w:t>ministic shortcoming</w:t>
      </w:r>
      <w:r w:rsidR="00377A0F" w:rsidRPr="006B3D8E">
        <w:rPr>
          <w:sz w:val="22"/>
          <w:szCs w:val="22"/>
        </w:rPr>
        <w:t xml:space="preserve"> of </w:t>
      </w:r>
      <w:r w:rsidR="00F07057">
        <w:rPr>
          <w:sz w:val="22"/>
          <w:szCs w:val="22"/>
        </w:rPr>
        <w:t>historical</w:t>
      </w:r>
      <w:r w:rsidR="00986277" w:rsidRPr="006B3D8E">
        <w:rPr>
          <w:sz w:val="22"/>
          <w:szCs w:val="22"/>
        </w:rPr>
        <w:t xml:space="preserve"> </w:t>
      </w:r>
      <w:r w:rsidR="00377A0F" w:rsidRPr="006B3D8E">
        <w:rPr>
          <w:sz w:val="22"/>
          <w:szCs w:val="22"/>
        </w:rPr>
        <w:t>insti</w:t>
      </w:r>
      <w:r w:rsidR="00AB7A86" w:rsidRPr="006B3D8E">
        <w:rPr>
          <w:sz w:val="22"/>
          <w:szCs w:val="22"/>
        </w:rPr>
        <w:t>tutional explanations</w:t>
      </w:r>
      <w:r w:rsidR="00F07057">
        <w:rPr>
          <w:sz w:val="22"/>
          <w:szCs w:val="22"/>
        </w:rPr>
        <w:t xml:space="preserve"> have been made by</w:t>
      </w:r>
      <w:r w:rsidRPr="006B3D8E">
        <w:rPr>
          <w:sz w:val="22"/>
          <w:szCs w:val="22"/>
        </w:rPr>
        <w:t xml:space="preserve"> others</w:t>
      </w:r>
      <w:r w:rsidR="00AB7A86" w:rsidRPr="006B3D8E">
        <w:rPr>
          <w:sz w:val="22"/>
          <w:szCs w:val="22"/>
        </w:rPr>
        <w:t>.  T</w:t>
      </w:r>
      <w:r w:rsidR="00F07057">
        <w:rPr>
          <w:sz w:val="22"/>
          <w:szCs w:val="22"/>
        </w:rPr>
        <w:t>he growing attention to</w:t>
      </w:r>
      <w:r w:rsidR="00E70D07" w:rsidRPr="006B3D8E">
        <w:rPr>
          <w:sz w:val="22"/>
          <w:szCs w:val="22"/>
        </w:rPr>
        <w:t xml:space="preserve"> </w:t>
      </w:r>
      <w:r w:rsidR="00264811" w:rsidRPr="006B3D8E">
        <w:rPr>
          <w:sz w:val="22"/>
          <w:szCs w:val="22"/>
        </w:rPr>
        <w:t xml:space="preserve">incremental </w:t>
      </w:r>
      <w:r w:rsidR="00937BB0" w:rsidRPr="006B3D8E">
        <w:rPr>
          <w:sz w:val="22"/>
          <w:szCs w:val="22"/>
        </w:rPr>
        <w:t>institutional change</w:t>
      </w:r>
      <w:r w:rsidR="00AB7A86" w:rsidRPr="006B3D8E">
        <w:rPr>
          <w:sz w:val="22"/>
          <w:szCs w:val="22"/>
        </w:rPr>
        <w:t xml:space="preserve"> </w:t>
      </w:r>
      <w:r w:rsidR="00F07057">
        <w:rPr>
          <w:sz w:val="22"/>
          <w:szCs w:val="22"/>
        </w:rPr>
        <w:t>is an instance of a search for</w:t>
      </w:r>
      <w:r w:rsidR="009D02D0" w:rsidRPr="006B3D8E">
        <w:rPr>
          <w:sz w:val="22"/>
          <w:szCs w:val="22"/>
        </w:rPr>
        <w:t xml:space="preserve"> </w:t>
      </w:r>
      <w:r w:rsidR="007B636E" w:rsidRPr="006B3D8E">
        <w:rPr>
          <w:sz w:val="22"/>
          <w:szCs w:val="22"/>
        </w:rPr>
        <w:t xml:space="preserve">models of institutions that attempt to avoid the smooth </w:t>
      </w:r>
      <w:r w:rsidR="00377A0F" w:rsidRPr="006B3D8E">
        <w:rPr>
          <w:sz w:val="22"/>
          <w:szCs w:val="22"/>
        </w:rPr>
        <w:t>or automatic features of inst</w:t>
      </w:r>
      <w:r w:rsidRPr="006B3D8E">
        <w:rPr>
          <w:sz w:val="22"/>
          <w:szCs w:val="22"/>
        </w:rPr>
        <w:t>itutional rule.  But mostly these efforts</w:t>
      </w:r>
      <w:r w:rsidR="00F07057">
        <w:rPr>
          <w:sz w:val="22"/>
          <w:szCs w:val="22"/>
        </w:rPr>
        <w:t xml:space="preserve"> have</w:t>
      </w:r>
      <w:r w:rsidR="00377A0F" w:rsidRPr="006B3D8E">
        <w:rPr>
          <w:sz w:val="22"/>
          <w:szCs w:val="22"/>
        </w:rPr>
        <w:t>n’t go</w:t>
      </w:r>
      <w:r w:rsidR="00F07057">
        <w:rPr>
          <w:sz w:val="22"/>
          <w:szCs w:val="22"/>
        </w:rPr>
        <w:t>ne</w:t>
      </w:r>
      <w:r w:rsidR="00377A0F" w:rsidRPr="006B3D8E">
        <w:rPr>
          <w:sz w:val="22"/>
          <w:szCs w:val="22"/>
        </w:rPr>
        <w:t xml:space="preserve"> far enough</w:t>
      </w:r>
      <w:r w:rsidR="00F07057">
        <w:rPr>
          <w:sz w:val="22"/>
          <w:szCs w:val="22"/>
        </w:rPr>
        <w:t xml:space="preserve"> if we’re interested in </w:t>
      </w:r>
      <w:r w:rsidR="00CD2A06">
        <w:rPr>
          <w:sz w:val="22"/>
          <w:szCs w:val="22"/>
        </w:rPr>
        <w:t xml:space="preserve">investigating </w:t>
      </w:r>
      <w:r w:rsidR="00F07057">
        <w:rPr>
          <w:sz w:val="22"/>
          <w:szCs w:val="22"/>
        </w:rPr>
        <w:t>the possibilities of self-government</w:t>
      </w:r>
      <w:r w:rsidR="00377A0F" w:rsidRPr="006B3D8E">
        <w:rPr>
          <w:sz w:val="22"/>
          <w:szCs w:val="22"/>
        </w:rPr>
        <w:t xml:space="preserve">. </w:t>
      </w:r>
      <w:r w:rsidR="00AB7A86" w:rsidRPr="006B3D8E">
        <w:rPr>
          <w:sz w:val="22"/>
          <w:szCs w:val="22"/>
        </w:rPr>
        <w:t xml:space="preserve"> </w:t>
      </w:r>
    </w:p>
    <w:p w:rsidR="006744F7" w:rsidRPr="006B3D8E" w:rsidRDefault="00A703A2" w:rsidP="00A703A2">
      <w:pPr>
        <w:spacing w:line="480" w:lineRule="auto"/>
        <w:ind w:firstLine="720"/>
        <w:rPr>
          <w:sz w:val="22"/>
          <w:szCs w:val="22"/>
        </w:rPr>
      </w:pPr>
      <w:r w:rsidRPr="006B3D8E">
        <w:rPr>
          <w:sz w:val="22"/>
          <w:szCs w:val="22"/>
        </w:rPr>
        <w:t xml:space="preserve">What I want to </w:t>
      </w:r>
      <w:r w:rsidR="00021276">
        <w:rPr>
          <w:sz w:val="22"/>
          <w:szCs w:val="22"/>
        </w:rPr>
        <w:t>do in this talk is contrast two</w:t>
      </w:r>
      <w:r w:rsidRPr="006B3D8E">
        <w:rPr>
          <w:sz w:val="22"/>
          <w:szCs w:val="22"/>
        </w:rPr>
        <w:t xml:space="preserve"> typica</w:t>
      </w:r>
      <w:r w:rsidR="007C2575" w:rsidRPr="006B3D8E">
        <w:rPr>
          <w:sz w:val="22"/>
          <w:szCs w:val="22"/>
        </w:rPr>
        <w:t xml:space="preserve">l moves of </w:t>
      </w:r>
      <w:r w:rsidRPr="006B3D8E">
        <w:rPr>
          <w:sz w:val="22"/>
          <w:szCs w:val="22"/>
        </w:rPr>
        <w:t xml:space="preserve">institutional theories </w:t>
      </w:r>
      <w:r w:rsidR="007C2575" w:rsidRPr="006B3D8E">
        <w:rPr>
          <w:sz w:val="22"/>
          <w:szCs w:val="22"/>
        </w:rPr>
        <w:t xml:space="preserve">of change </w:t>
      </w:r>
      <w:r w:rsidRPr="006B3D8E">
        <w:rPr>
          <w:sz w:val="22"/>
          <w:szCs w:val="22"/>
        </w:rPr>
        <w:t>with p</w:t>
      </w:r>
      <w:r w:rsidR="00376AE5">
        <w:rPr>
          <w:sz w:val="22"/>
          <w:szCs w:val="22"/>
        </w:rPr>
        <w:t>ragmatist concepts of</w:t>
      </w:r>
      <w:r w:rsidRPr="006B3D8E">
        <w:rPr>
          <w:sz w:val="22"/>
          <w:szCs w:val="22"/>
        </w:rPr>
        <w:t xml:space="preserve"> institutions as political a</w:t>
      </w:r>
      <w:r w:rsidR="00376AE5">
        <w:rPr>
          <w:sz w:val="22"/>
          <w:szCs w:val="22"/>
        </w:rPr>
        <w:t>rti</w:t>
      </w:r>
      <w:r w:rsidR="00672208" w:rsidRPr="006B3D8E">
        <w:rPr>
          <w:sz w:val="22"/>
          <w:szCs w:val="22"/>
        </w:rPr>
        <w:t>facts that are constituted of</w:t>
      </w:r>
      <w:r w:rsidRPr="006B3D8E">
        <w:rPr>
          <w:sz w:val="22"/>
          <w:szCs w:val="22"/>
        </w:rPr>
        <w:t xml:space="preserve"> the action dispositions of agents.  </w:t>
      </w:r>
      <w:r w:rsidR="008D5F1A" w:rsidRPr="006B3D8E">
        <w:rPr>
          <w:sz w:val="22"/>
          <w:szCs w:val="22"/>
        </w:rPr>
        <w:t>What pragmatist institutionalism and historical institutionalism have in common</w:t>
      </w:r>
      <w:r w:rsidRPr="006B3D8E">
        <w:rPr>
          <w:sz w:val="22"/>
          <w:szCs w:val="22"/>
        </w:rPr>
        <w:t xml:space="preserve"> is </w:t>
      </w:r>
      <w:r w:rsidR="008D5F1A" w:rsidRPr="006B3D8E">
        <w:rPr>
          <w:sz w:val="22"/>
          <w:szCs w:val="22"/>
        </w:rPr>
        <w:t xml:space="preserve">the notion of </w:t>
      </w:r>
      <w:r w:rsidR="00CD2A06">
        <w:rPr>
          <w:sz w:val="22"/>
          <w:szCs w:val="22"/>
        </w:rPr>
        <w:t>situated agency;</w:t>
      </w:r>
      <w:r w:rsidRPr="006B3D8E">
        <w:rPr>
          <w:sz w:val="22"/>
          <w:szCs w:val="22"/>
        </w:rPr>
        <w:t xml:space="preserve"> namely</w:t>
      </w:r>
      <w:r w:rsidR="00CD2A06">
        <w:rPr>
          <w:sz w:val="22"/>
          <w:szCs w:val="22"/>
        </w:rPr>
        <w:t>,</w:t>
      </w:r>
      <w:r w:rsidRPr="006B3D8E">
        <w:rPr>
          <w:sz w:val="22"/>
          <w:szCs w:val="22"/>
        </w:rPr>
        <w:t xml:space="preserve"> </w:t>
      </w:r>
      <w:r w:rsidR="008D5F1A" w:rsidRPr="006B3D8E">
        <w:rPr>
          <w:sz w:val="22"/>
          <w:szCs w:val="22"/>
        </w:rPr>
        <w:t xml:space="preserve">that </w:t>
      </w:r>
      <w:r w:rsidRPr="006B3D8E">
        <w:rPr>
          <w:sz w:val="22"/>
          <w:szCs w:val="22"/>
        </w:rPr>
        <w:t>i</w:t>
      </w:r>
      <w:r w:rsidR="00E70D07" w:rsidRPr="006B3D8E">
        <w:rPr>
          <w:sz w:val="22"/>
          <w:szCs w:val="22"/>
        </w:rPr>
        <w:t xml:space="preserve">ndividuals are situated in </w:t>
      </w:r>
      <w:r w:rsidR="008D5F1A" w:rsidRPr="006B3D8E">
        <w:rPr>
          <w:sz w:val="22"/>
          <w:szCs w:val="22"/>
        </w:rPr>
        <w:t>institutions</w:t>
      </w:r>
      <w:r w:rsidR="007C2575" w:rsidRPr="006B3D8E">
        <w:rPr>
          <w:sz w:val="22"/>
          <w:szCs w:val="22"/>
        </w:rPr>
        <w:t xml:space="preserve"> and that these institutions shape what individuals do</w:t>
      </w:r>
      <w:r w:rsidRPr="006B3D8E">
        <w:rPr>
          <w:sz w:val="22"/>
          <w:szCs w:val="22"/>
        </w:rPr>
        <w:t>.</w:t>
      </w:r>
      <w:r w:rsidR="008D5F1A" w:rsidRPr="006B3D8E">
        <w:rPr>
          <w:sz w:val="22"/>
          <w:szCs w:val="22"/>
        </w:rPr>
        <w:t xml:space="preserve"> </w:t>
      </w:r>
      <w:r w:rsidR="00376AE5">
        <w:rPr>
          <w:sz w:val="22"/>
          <w:szCs w:val="22"/>
        </w:rPr>
        <w:t xml:space="preserve"> The institutions have </w:t>
      </w:r>
      <w:r w:rsidR="00376AE5" w:rsidRPr="006B3D8E">
        <w:rPr>
          <w:sz w:val="22"/>
          <w:szCs w:val="22"/>
        </w:rPr>
        <w:t>a variety of historical trajectories to govern specific fields of action at varying scales of operation</w:t>
      </w:r>
      <w:r w:rsidR="00376AE5">
        <w:rPr>
          <w:sz w:val="22"/>
          <w:szCs w:val="22"/>
        </w:rPr>
        <w:t xml:space="preserve">.  </w:t>
      </w:r>
      <w:r w:rsidR="007C2575" w:rsidRPr="006B3D8E">
        <w:rPr>
          <w:sz w:val="22"/>
          <w:szCs w:val="22"/>
        </w:rPr>
        <w:t xml:space="preserve">But for pragmatists, institutions don’t determine action:  rules and norms are sufficiently ambiguous, repertoires are plural, and situations are significantly idiosyncratic </w:t>
      </w:r>
      <w:r w:rsidR="0056282F">
        <w:rPr>
          <w:sz w:val="22"/>
          <w:szCs w:val="22"/>
        </w:rPr>
        <w:t xml:space="preserve">…  </w:t>
      </w:r>
      <w:r w:rsidR="007C2575" w:rsidRPr="006B3D8E">
        <w:rPr>
          <w:sz w:val="22"/>
          <w:szCs w:val="22"/>
        </w:rPr>
        <w:t xml:space="preserve"> that </w:t>
      </w:r>
      <w:r w:rsidR="0056282F" w:rsidRPr="006B3D8E">
        <w:rPr>
          <w:sz w:val="22"/>
          <w:szCs w:val="22"/>
        </w:rPr>
        <w:t xml:space="preserve">assessments about what to do and how to do it </w:t>
      </w:r>
      <w:r w:rsidR="007C2575" w:rsidRPr="006B3D8E">
        <w:rPr>
          <w:sz w:val="22"/>
          <w:szCs w:val="22"/>
        </w:rPr>
        <w:t xml:space="preserve">involve </w:t>
      </w:r>
      <w:r w:rsidR="0056282F" w:rsidRPr="006B3D8E">
        <w:rPr>
          <w:sz w:val="22"/>
          <w:szCs w:val="22"/>
        </w:rPr>
        <w:t xml:space="preserve">individual </w:t>
      </w:r>
      <w:r w:rsidR="007C2575" w:rsidRPr="006B3D8E">
        <w:rPr>
          <w:sz w:val="22"/>
          <w:szCs w:val="22"/>
        </w:rPr>
        <w:t>creative action</w:t>
      </w:r>
      <w:r w:rsidR="00376AE5">
        <w:rPr>
          <w:sz w:val="22"/>
          <w:szCs w:val="22"/>
        </w:rPr>
        <w:t xml:space="preserve"> – situated creativity</w:t>
      </w:r>
      <w:r w:rsidR="007C2575" w:rsidRPr="006B3D8E">
        <w:rPr>
          <w:sz w:val="22"/>
          <w:szCs w:val="22"/>
        </w:rPr>
        <w:t>.  Rather</w:t>
      </w:r>
      <w:r w:rsidR="000E6FD9" w:rsidRPr="006B3D8E">
        <w:rPr>
          <w:sz w:val="22"/>
          <w:szCs w:val="22"/>
        </w:rPr>
        <w:t xml:space="preserve"> than </w:t>
      </w:r>
      <w:r w:rsidR="00376AE5">
        <w:rPr>
          <w:sz w:val="22"/>
          <w:szCs w:val="22"/>
        </w:rPr>
        <w:t xml:space="preserve">a new voluntarism and </w:t>
      </w:r>
      <w:r w:rsidR="000E6FD9" w:rsidRPr="006B3D8E">
        <w:rPr>
          <w:sz w:val="22"/>
          <w:szCs w:val="22"/>
        </w:rPr>
        <w:t>throwing out structure to privilege</w:t>
      </w:r>
      <w:r w:rsidR="007C2575" w:rsidRPr="006B3D8E">
        <w:rPr>
          <w:sz w:val="22"/>
          <w:szCs w:val="22"/>
        </w:rPr>
        <w:t xml:space="preserve"> agency, pragmatist research requires us to get very concrete about how institutions are implicated in the assembly work that agents do.  </w:t>
      </w:r>
      <w:r w:rsidR="00CD2A06">
        <w:rPr>
          <w:sz w:val="22"/>
          <w:szCs w:val="22"/>
        </w:rPr>
        <w:t xml:space="preserve">Then </w:t>
      </w:r>
      <w:r w:rsidR="00021276">
        <w:rPr>
          <w:sz w:val="22"/>
          <w:szCs w:val="22"/>
        </w:rPr>
        <w:t xml:space="preserve">I’m going to illustrate what I mean by sketching an explanation of the </w:t>
      </w:r>
      <w:r w:rsidR="00376AE5">
        <w:rPr>
          <w:sz w:val="22"/>
          <w:szCs w:val="22"/>
        </w:rPr>
        <w:t xml:space="preserve">unexpected </w:t>
      </w:r>
      <w:r w:rsidR="00021276">
        <w:rPr>
          <w:sz w:val="22"/>
          <w:szCs w:val="22"/>
        </w:rPr>
        <w:t xml:space="preserve">successful auto industry rescue by the Obama administration. </w:t>
      </w:r>
    </w:p>
    <w:p w:rsidR="00285A8A" w:rsidRPr="006B3D8E" w:rsidRDefault="00285A8A" w:rsidP="006744F7">
      <w:pPr>
        <w:spacing w:line="480" w:lineRule="auto"/>
        <w:rPr>
          <w:sz w:val="22"/>
          <w:szCs w:val="22"/>
        </w:rPr>
      </w:pPr>
    </w:p>
    <w:p w:rsidR="00CA3FE9" w:rsidRDefault="000761F3" w:rsidP="00837774">
      <w:pPr>
        <w:spacing w:line="480" w:lineRule="auto"/>
        <w:ind w:firstLine="720"/>
        <w:rPr>
          <w:sz w:val="22"/>
          <w:szCs w:val="22"/>
        </w:rPr>
      </w:pPr>
      <w:r w:rsidRPr="006B3D8E">
        <w:rPr>
          <w:sz w:val="22"/>
          <w:szCs w:val="22"/>
        </w:rPr>
        <w:t>One move of theories</w:t>
      </w:r>
      <w:r w:rsidR="009D02D0" w:rsidRPr="006B3D8E">
        <w:rPr>
          <w:sz w:val="22"/>
          <w:szCs w:val="22"/>
        </w:rPr>
        <w:t xml:space="preserve"> </w:t>
      </w:r>
      <w:r w:rsidR="006661BD" w:rsidRPr="006B3D8E">
        <w:rPr>
          <w:sz w:val="22"/>
          <w:szCs w:val="22"/>
        </w:rPr>
        <w:t xml:space="preserve">of incremental </w:t>
      </w:r>
      <w:r w:rsidRPr="006B3D8E">
        <w:rPr>
          <w:sz w:val="22"/>
          <w:szCs w:val="22"/>
        </w:rPr>
        <w:t xml:space="preserve">institutional </w:t>
      </w:r>
      <w:r w:rsidR="006661BD" w:rsidRPr="006B3D8E">
        <w:rPr>
          <w:sz w:val="22"/>
          <w:szCs w:val="22"/>
        </w:rPr>
        <w:t xml:space="preserve">change </w:t>
      </w:r>
      <w:r w:rsidR="009D02D0" w:rsidRPr="006B3D8E">
        <w:rPr>
          <w:sz w:val="22"/>
          <w:szCs w:val="22"/>
        </w:rPr>
        <w:t xml:space="preserve">is </w:t>
      </w:r>
      <w:r w:rsidRPr="006B3D8E">
        <w:rPr>
          <w:sz w:val="22"/>
          <w:szCs w:val="22"/>
        </w:rPr>
        <w:t xml:space="preserve">to </w:t>
      </w:r>
      <w:r w:rsidR="009D02D0" w:rsidRPr="006B3D8E">
        <w:rPr>
          <w:sz w:val="22"/>
          <w:szCs w:val="22"/>
        </w:rPr>
        <w:t xml:space="preserve">loosen and </w:t>
      </w:r>
      <w:proofErr w:type="spellStart"/>
      <w:r w:rsidR="009D02D0" w:rsidRPr="006B3D8E">
        <w:rPr>
          <w:sz w:val="22"/>
          <w:szCs w:val="22"/>
        </w:rPr>
        <w:t>complexify</w:t>
      </w:r>
      <w:proofErr w:type="spellEnd"/>
      <w:r w:rsidR="009D02D0" w:rsidRPr="006B3D8E">
        <w:rPr>
          <w:sz w:val="22"/>
          <w:szCs w:val="22"/>
        </w:rPr>
        <w:t xml:space="preserve"> </w:t>
      </w:r>
      <w:r w:rsidR="00CD2A06">
        <w:rPr>
          <w:sz w:val="22"/>
          <w:szCs w:val="22"/>
        </w:rPr>
        <w:t xml:space="preserve">the </w:t>
      </w:r>
      <w:r w:rsidRPr="006B3D8E">
        <w:rPr>
          <w:sz w:val="22"/>
          <w:szCs w:val="22"/>
        </w:rPr>
        <w:t xml:space="preserve">institutional controls that implement the </w:t>
      </w:r>
      <w:r w:rsidR="00CA3FE9">
        <w:rPr>
          <w:sz w:val="22"/>
          <w:szCs w:val="22"/>
        </w:rPr>
        <w:t xml:space="preserve">institution’s </w:t>
      </w:r>
      <w:r w:rsidRPr="006B3D8E">
        <w:rPr>
          <w:sz w:val="22"/>
          <w:szCs w:val="22"/>
        </w:rPr>
        <w:t xml:space="preserve">goals.  </w:t>
      </w:r>
      <w:r w:rsidR="006D4BBD" w:rsidRPr="006B3D8E">
        <w:rPr>
          <w:sz w:val="22"/>
          <w:szCs w:val="22"/>
        </w:rPr>
        <w:t>Institutions are typically defined as congealed power distributions that authoritatively allocate resources.</w:t>
      </w:r>
      <w:r w:rsidR="006D4BBD" w:rsidRPr="006B3D8E">
        <w:rPr>
          <w:rStyle w:val="EndnoteReference"/>
          <w:sz w:val="22"/>
          <w:szCs w:val="22"/>
        </w:rPr>
        <w:t xml:space="preserve"> </w:t>
      </w:r>
      <w:r w:rsidR="006D4BBD" w:rsidRPr="006B3D8E">
        <w:rPr>
          <w:rStyle w:val="EndnoteReference"/>
          <w:sz w:val="22"/>
          <w:szCs w:val="22"/>
        </w:rPr>
        <w:endnoteReference w:id="1"/>
      </w:r>
      <w:r w:rsidR="006D4BBD" w:rsidRPr="006B3D8E">
        <w:rPr>
          <w:sz w:val="22"/>
          <w:szCs w:val="22"/>
        </w:rPr>
        <w:t xml:space="preserve">  </w:t>
      </w:r>
      <w:r w:rsidRPr="006B3D8E">
        <w:rPr>
          <w:sz w:val="22"/>
          <w:szCs w:val="22"/>
        </w:rPr>
        <w:t>This</w:t>
      </w:r>
      <w:r w:rsidR="00CA3FE9">
        <w:rPr>
          <w:sz w:val="22"/>
          <w:szCs w:val="22"/>
        </w:rPr>
        <w:t xml:space="preserve"> loosening</w:t>
      </w:r>
      <w:r w:rsidR="009D02D0" w:rsidRPr="006B3D8E">
        <w:rPr>
          <w:sz w:val="22"/>
          <w:szCs w:val="22"/>
        </w:rPr>
        <w:t xml:space="preserve"> allow</w:t>
      </w:r>
      <w:r w:rsidRPr="006B3D8E">
        <w:rPr>
          <w:sz w:val="22"/>
          <w:szCs w:val="22"/>
        </w:rPr>
        <w:t>s</w:t>
      </w:r>
      <w:r w:rsidR="009D02D0" w:rsidRPr="006B3D8E">
        <w:rPr>
          <w:sz w:val="22"/>
          <w:szCs w:val="22"/>
        </w:rPr>
        <w:t xml:space="preserve"> </w:t>
      </w:r>
      <w:r w:rsidRPr="006B3D8E">
        <w:rPr>
          <w:sz w:val="22"/>
          <w:szCs w:val="22"/>
        </w:rPr>
        <w:t xml:space="preserve">various </w:t>
      </w:r>
      <w:r w:rsidR="009D02D0" w:rsidRPr="006B3D8E">
        <w:rPr>
          <w:sz w:val="22"/>
          <w:szCs w:val="22"/>
        </w:rPr>
        <w:t>agents</w:t>
      </w:r>
      <w:r w:rsidR="00654C3C">
        <w:rPr>
          <w:sz w:val="22"/>
          <w:szCs w:val="22"/>
        </w:rPr>
        <w:t>,</w:t>
      </w:r>
      <w:r w:rsidR="009D02D0" w:rsidRPr="006B3D8E">
        <w:rPr>
          <w:sz w:val="22"/>
          <w:szCs w:val="22"/>
        </w:rPr>
        <w:t xml:space="preserve"> </w:t>
      </w:r>
      <w:r w:rsidR="00654C3C" w:rsidRPr="006B3D8E">
        <w:rPr>
          <w:sz w:val="22"/>
          <w:szCs w:val="22"/>
        </w:rPr>
        <w:t>official and non-official</w:t>
      </w:r>
      <w:r w:rsidR="00654C3C">
        <w:rPr>
          <w:sz w:val="22"/>
          <w:szCs w:val="22"/>
        </w:rPr>
        <w:t>,</w:t>
      </w:r>
      <w:r w:rsidR="00654C3C" w:rsidRPr="006B3D8E">
        <w:rPr>
          <w:sz w:val="22"/>
          <w:szCs w:val="22"/>
        </w:rPr>
        <w:t xml:space="preserve"> </w:t>
      </w:r>
      <w:r w:rsidR="009D02D0" w:rsidRPr="006B3D8E">
        <w:rPr>
          <w:sz w:val="22"/>
          <w:szCs w:val="22"/>
        </w:rPr>
        <w:t xml:space="preserve">to take advantage of </w:t>
      </w:r>
      <w:r w:rsidRPr="006B3D8E">
        <w:rPr>
          <w:sz w:val="22"/>
          <w:szCs w:val="22"/>
        </w:rPr>
        <w:t xml:space="preserve">the </w:t>
      </w:r>
      <w:r w:rsidR="002D2A5D" w:rsidRPr="006B3D8E">
        <w:rPr>
          <w:sz w:val="22"/>
          <w:szCs w:val="22"/>
        </w:rPr>
        <w:t>gaps</w:t>
      </w:r>
      <w:r w:rsidR="009D02D0" w:rsidRPr="006B3D8E">
        <w:rPr>
          <w:sz w:val="22"/>
          <w:szCs w:val="22"/>
        </w:rPr>
        <w:t xml:space="preserve">. </w:t>
      </w:r>
      <w:r w:rsidRPr="006B3D8E">
        <w:rPr>
          <w:sz w:val="22"/>
          <w:szCs w:val="22"/>
        </w:rPr>
        <w:t xml:space="preserve"> Institutional goals</w:t>
      </w:r>
      <w:r w:rsidR="009D02D0" w:rsidRPr="006B3D8E">
        <w:rPr>
          <w:sz w:val="22"/>
          <w:szCs w:val="22"/>
        </w:rPr>
        <w:t xml:space="preserve"> are </w:t>
      </w:r>
      <w:r w:rsidR="006661BD" w:rsidRPr="006B3D8E">
        <w:rPr>
          <w:sz w:val="22"/>
          <w:szCs w:val="22"/>
        </w:rPr>
        <w:t xml:space="preserve">said to be </w:t>
      </w:r>
      <w:r w:rsidR="002D2A5D" w:rsidRPr="006B3D8E">
        <w:rPr>
          <w:sz w:val="22"/>
          <w:szCs w:val="22"/>
        </w:rPr>
        <w:t>general and ambiguous</w:t>
      </w:r>
      <w:r w:rsidR="009D02D0" w:rsidRPr="006B3D8E">
        <w:rPr>
          <w:sz w:val="22"/>
          <w:szCs w:val="22"/>
        </w:rPr>
        <w:t xml:space="preserve"> and</w:t>
      </w:r>
      <w:r w:rsidR="002D2A5D" w:rsidRPr="006B3D8E">
        <w:rPr>
          <w:sz w:val="22"/>
          <w:szCs w:val="22"/>
        </w:rPr>
        <w:t>,</w:t>
      </w:r>
      <w:r w:rsidR="009D02D0" w:rsidRPr="006B3D8E">
        <w:rPr>
          <w:sz w:val="22"/>
          <w:szCs w:val="22"/>
        </w:rPr>
        <w:t xml:space="preserve"> therefore</w:t>
      </w:r>
      <w:r w:rsidR="002D2A5D" w:rsidRPr="006B3D8E">
        <w:rPr>
          <w:sz w:val="22"/>
          <w:szCs w:val="22"/>
        </w:rPr>
        <w:t>,</w:t>
      </w:r>
      <w:r w:rsidR="009D02D0" w:rsidRPr="006B3D8E">
        <w:rPr>
          <w:sz w:val="22"/>
          <w:szCs w:val="22"/>
        </w:rPr>
        <w:t xml:space="preserve"> open to interpretation</w:t>
      </w:r>
      <w:r w:rsidR="002D2A5D" w:rsidRPr="006B3D8E">
        <w:rPr>
          <w:sz w:val="22"/>
          <w:szCs w:val="22"/>
        </w:rPr>
        <w:t xml:space="preserve"> during</w:t>
      </w:r>
      <w:r w:rsidR="009D02D0" w:rsidRPr="006B3D8E">
        <w:rPr>
          <w:sz w:val="22"/>
          <w:szCs w:val="22"/>
        </w:rPr>
        <w:t xml:space="preserve"> rule development and enforcement; </w:t>
      </w:r>
      <w:r w:rsidR="006661BD" w:rsidRPr="006B3D8E">
        <w:rPr>
          <w:sz w:val="22"/>
          <w:szCs w:val="22"/>
        </w:rPr>
        <w:t>differences may emerge between</w:t>
      </w:r>
      <w:r w:rsidR="002D2A5D" w:rsidRPr="006B3D8E">
        <w:rPr>
          <w:sz w:val="22"/>
          <w:szCs w:val="22"/>
        </w:rPr>
        <w:t xml:space="preserve"> the</w:t>
      </w:r>
      <w:r w:rsidR="006661BD" w:rsidRPr="006B3D8E">
        <w:rPr>
          <w:sz w:val="22"/>
          <w:szCs w:val="22"/>
        </w:rPr>
        <w:t xml:space="preserve"> original</w:t>
      </w:r>
      <w:r w:rsidR="00CA3FE9">
        <w:rPr>
          <w:sz w:val="22"/>
          <w:szCs w:val="22"/>
        </w:rPr>
        <w:t xml:space="preserve"> designers of the </w:t>
      </w:r>
      <w:r w:rsidR="002D2A5D" w:rsidRPr="006B3D8E">
        <w:rPr>
          <w:sz w:val="22"/>
          <w:szCs w:val="22"/>
        </w:rPr>
        <w:t xml:space="preserve">institution </w:t>
      </w:r>
      <w:r w:rsidR="006661BD" w:rsidRPr="006B3D8E">
        <w:rPr>
          <w:sz w:val="22"/>
          <w:szCs w:val="22"/>
        </w:rPr>
        <w:t xml:space="preserve">and the staffs that operate them; </w:t>
      </w:r>
      <w:r w:rsidRPr="006B3D8E">
        <w:rPr>
          <w:sz w:val="22"/>
          <w:szCs w:val="22"/>
        </w:rPr>
        <w:t xml:space="preserve">differences </w:t>
      </w:r>
      <w:r w:rsidR="002D2A5D" w:rsidRPr="006B3D8E">
        <w:rPr>
          <w:sz w:val="22"/>
          <w:szCs w:val="22"/>
        </w:rPr>
        <w:t xml:space="preserve">exist </w:t>
      </w:r>
      <w:r w:rsidRPr="006B3D8E">
        <w:rPr>
          <w:sz w:val="22"/>
          <w:szCs w:val="22"/>
        </w:rPr>
        <w:t xml:space="preserve">between </w:t>
      </w:r>
      <w:r w:rsidR="002D2A5D" w:rsidRPr="006B3D8E">
        <w:rPr>
          <w:sz w:val="22"/>
          <w:szCs w:val="22"/>
        </w:rPr>
        <w:t xml:space="preserve">the center and periphery, </w:t>
      </w:r>
      <w:r w:rsidRPr="006B3D8E">
        <w:rPr>
          <w:sz w:val="22"/>
          <w:szCs w:val="22"/>
        </w:rPr>
        <w:t xml:space="preserve">global and local, </w:t>
      </w:r>
      <w:r w:rsidR="002D2A5D" w:rsidRPr="006B3D8E">
        <w:rPr>
          <w:sz w:val="22"/>
          <w:szCs w:val="22"/>
        </w:rPr>
        <w:t xml:space="preserve">and </w:t>
      </w:r>
      <w:r w:rsidRPr="006B3D8E">
        <w:rPr>
          <w:sz w:val="22"/>
          <w:szCs w:val="22"/>
        </w:rPr>
        <w:t>ma</w:t>
      </w:r>
      <w:r w:rsidR="002D2A5D" w:rsidRPr="006B3D8E">
        <w:rPr>
          <w:sz w:val="22"/>
          <w:szCs w:val="22"/>
        </w:rPr>
        <w:t>cro and micro sites or scales</w:t>
      </w:r>
      <w:r w:rsidR="00CA3FE9">
        <w:rPr>
          <w:sz w:val="22"/>
          <w:szCs w:val="22"/>
        </w:rPr>
        <w:t xml:space="preserve"> of action</w:t>
      </w:r>
      <w:r w:rsidRPr="006B3D8E">
        <w:rPr>
          <w:sz w:val="22"/>
          <w:szCs w:val="22"/>
        </w:rPr>
        <w:t xml:space="preserve">; </w:t>
      </w:r>
      <w:r w:rsidR="002D2A5D" w:rsidRPr="006B3D8E">
        <w:rPr>
          <w:sz w:val="22"/>
          <w:szCs w:val="22"/>
        </w:rPr>
        <w:t xml:space="preserve">changing circumstances may lead the groups that are governed </w:t>
      </w:r>
      <w:r w:rsidR="006661BD" w:rsidRPr="006B3D8E">
        <w:rPr>
          <w:sz w:val="22"/>
          <w:szCs w:val="22"/>
        </w:rPr>
        <w:t>to contest the distribution of resourc</w:t>
      </w:r>
      <w:r w:rsidR="002D2A5D" w:rsidRPr="006B3D8E">
        <w:rPr>
          <w:sz w:val="22"/>
          <w:szCs w:val="22"/>
        </w:rPr>
        <w:t>es and thus the rules that establish resource shares</w:t>
      </w:r>
      <w:r w:rsidR="006661BD" w:rsidRPr="006B3D8E">
        <w:rPr>
          <w:sz w:val="22"/>
          <w:szCs w:val="22"/>
        </w:rPr>
        <w:t>; institutions may clash with each other; and individuals inhabit an environment of multiple institutional orders and</w:t>
      </w:r>
      <w:r w:rsidR="002D2A5D" w:rsidRPr="006B3D8E">
        <w:rPr>
          <w:sz w:val="22"/>
          <w:szCs w:val="22"/>
        </w:rPr>
        <w:t>, therefore, may be able to enlist allies</w:t>
      </w:r>
      <w:r w:rsidR="00CA3FE9">
        <w:rPr>
          <w:sz w:val="22"/>
          <w:szCs w:val="22"/>
        </w:rPr>
        <w:t xml:space="preserve"> from one to challeng</w:t>
      </w:r>
      <w:r w:rsidR="006661BD" w:rsidRPr="006B3D8E">
        <w:rPr>
          <w:sz w:val="22"/>
          <w:szCs w:val="22"/>
        </w:rPr>
        <w:t xml:space="preserve">e another.  </w:t>
      </w:r>
    </w:p>
    <w:p w:rsidR="008E3147" w:rsidRDefault="006661BD" w:rsidP="00837774">
      <w:pPr>
        <w:spacing w:line="480" w:lineRule="auto"/>
        <w:ind w:firstLine="720"/>
        <w:rPr>
          <w:sz w:val="22"/>
          <w:szCs w:val="22"/>
        </w:rPr>
      </w:pPr>
      <w:r w:rsidRPr="006B3D8E">
        <w:rPr>
          <w:sz w:val="22"/>
          <w:szCs w:val="22"/>
        </w:rPr>
        <w:t>The</w:t>
      </w:r>
      <w:r w:rsidR="00CD2A06">
        <w:rPr>
          <w:sz w:val="22"/>
          <w:szCs w:val="22"/>
        </w:rPr>
        <w:t xml:space="preserve">se conditions are useful to describe. The limitation </w:t>
      </w:r>
      <w:r w:rsidRPr="006B3D8E">
        <w:rPr>
          <w:sz w:val="22"/>
          <w:szCs w:val="22"/>
        </w:rPr>
        <w:t>is that</w:t>
      </w:r>
      <w:r w:rsidR="009D02D0" w:rsidRPr="006B3D8E">
        <w:rPr>
          <w:sz w:val="22"/>
          <w:szCs w:val="22"/>
        </w:rPr>
        <w:t xml:space="preserve"> </w:t>
      </w:r>
      <w:r w:rsidR="00CA3FE9">
        <w:rPr>
          <w:sz w:val="22"/>
          <w:szCs w:val="22"/>
        </w:rPr>
        <w:t xml:space="preserve">either </w:t>
      </w:r>
      <w:r w:rsidR="009D02D0" w:rsidRPr="006B3D8E">
        <w:rPr>
          <w:sz w:val="22"/>
          <w:szCs w:val="22"/>
        </w:rPr>
        <w:t>the agents are said to adopt strategies</w:t>
      </w:r>
      <w:r w:rsidR="000761F3" w:rsidRPr="006B3D8E">
        <w:rPr>
          <w:sz w:val="22"/>
          <w:szCs w:val="22"/>
        </w:rPr>
        <w:t xml:space="preserve"> toward institutional change</w:t>
      </w:r>
      <w:r w:rsidR="009D02D0" w:rsidRPr="006B3D8E">
        <w:rPr>
          <w:sz w:val="22"/>
          <w:szCs w:val="22"/>
        </w:rPr>
        <w:t xml:space="preserve"> from a menu of structured strategies, which are eithe</w:t>
      </w:r>
      <w:r w:rsidR="00CA3FE9">
        <w:rPr>
          <w:sz w:val="22"/>
          <w:szCs w:val="22"/>
        </w:rPr>
        <w:t xml:space="preserve">r pro- or anti-institution, </w:t>
      </w:r>
      <w:r w:rsidR="009D02D0" w:rsidRPr="00CA3FE9">
        <w:rPr>
          <w:i/>
          <w:szCs w:val="22"/>
        </w:rPr>
        <w:t>or</w:t>
      </w:r>
      <w:r w:rsidR="009D02D0" w:rsidRPr="006B3D8E">
        <w:rPr>
          <w:sz w:val="22"/>
          <w:szCs w:val="22"/>
        </w:rPr>
        <w:t xml:space="preserve"> </w:t>
      </w:r>
      <w:r w:rsidR="00BB6CA8" w:rsidRPr="006B3D8E">
        <w:rPr>
          <w:sz w:val="22"/>
          <w:szCs w:val="22"/>
        </w:rPr>
        <w:t xml:space="preserve">challenging </w:t>
      </w:r>
      <w:r w:rsidR="009D02D0" w:rsidRPr="006B3D8E">
        <w:rPr>
          <w:sz w:val="22"/>
          <w:szCs w:val="22"/>
        </w:rPr>
        <w:t>agents are motivated by their social and economic interests, which throws us into another kind of determinism.</w:t>
      </w:r>
      <w:r w:rsidR="000761F3" w:rsidRPr="006B3D8E">
        <w:rPr>
          <w:rStyle w:val="EndnoteReference"/>
          <w:sz w:val="22"/>
          <w:szCs w:val="22"/>
        </w:rPr>
        <w:endnoteReference w:id="2"/>
      </w:r>
      <w:r w:rsidR="009D02D0" w:rsidRPr="006B3D8E">
        <w:rPr>
          <w:sz w:val="22"/>
          <w:szCs w:val="22"/>
        </w:rPr>
        <w:t xml:space="preserve"> </w:t>
      </w:r>
      <w:r w:rsidR="00CA3FE9">
        <w:rPr>
          <w:sz w:val="22"/>
          <w:szCs w:val="22"/>
        </w:rPr>
        <w:t xml:space="preserve">  T</w:t>
      </w:r>
      <w:r w:rsidR="003164B9" w:rsidRPr="006B3D8E">
        <w:rPr>
          <w:sz w:val="22"/>
          <w:szCs w:val="22"/>
        </w:rPr>
        <w:t>here’</w:t>
      </w:r>
      <w:r w:rsidR="00654C3C">
        <w:rPr>
          <w:sz w:val="22"/>
          <w:szCs w:val="22"/>
        </w:rPr>
        <w:t>s virtually no theory of action</w:t>
      </w:r>
      <w:r w:rsidR="009B4F66">
        <w:rPr>
          <w:sz w:val="22"/>
          <w:szCs w:val="22"/>
        </w:rPr>
        <w:t xml:space="preserve"> and </w:t>
      </w:r>
      <w:r w:rsidR="003164B9" w:rsidRPr="006B3D8E">
        <w:rPr>
          <w:sz w:val="22"/>
          <w:szCs w:val="22"/>
        </w:rPr>
        <w:t>no self-government involved</w:t>
      </w:r>
      <w:r w:rsidR="002902A0">
        <w:rPr>
          <w:sz w:val="22"/>
          <w:szCs w:val="22"/>
        </w:rPr>
        <w:t xml:space="preserve"> in it; </w:t>
      </w:r>
      <w:r w:rsidR="003164B9" w:rsidRPr="006B3D8E">
        <w:rPr>
          <w:sz w:val="22"/>
          <w:szCs w:val="22"/>
        </w:rPr>
        <w:t>structur</w:t>
      </w:r>
      <w:r w:rsidR="006B3D8E" w:rsidRPr="006B3D8E">
        <w:rPr>
          <w:sz w:val="22"/>
          <w:szCs w:val="22"/>
        </w:rPr>
        <w:t>e</w:t>
      </w:r>
      <w:r w:rsidR="003164B9" w:rsidRPr="006B3D8E">
        <w:rPr>
          <w:sz w:val="22"/>
          <w:szCs w:val="22"/>
        </w:rPr>
        <w:t xml:space="preserve"> and institutional control</w:t>
      </w:r>
      <w:r w:rsidR="006B3D8E" w:rsidRPr="006B3D8E">
        <w:rPr>
          <w:sz w:val="22"/>
          <w:szCs w:val="22"/>
        </w:rPr>
        <w:t xml:space="preserve"> </w:t>
      </w:r>
      <w:r w:rsidR="002902A0">
        <w:rPr>
          <w:sz w:val="22"/>
          <w:szCs w:val="22"/>
        </w:rPr>
        <w:t>still do</w:t>
      </w:r>
      <w:r w:rsidR="006B3D8E" w:rsidRPr="006B3D8E">
        <w:rPr>
          <w:sz w:val="22"/>
          <w:szCs w:val="22"/>
        </w:rPr>
        <w:t xml:space="preserve"> the work</w:t>
      </w:r>
      <w:r w:rsidR="003164B9" w:rsidRPr="006B3D8E">
        <w:rPr>
          <w:sz w:val="22"/>
          <w:szCs w:val="22"/>
        </w:rPr>
        <w:t xml:space="preserve">. </w:t>
      </w:r>
      <w:r w:rsidR="003A21CA" w:rsidRPr="006B3D8E">
        <w:rPr>
          <w:sz w:val="22"/>
          <w:szCs w:val="22"/>
        </w:rPr>
        <w:t xml:space="preserve"> </w:t>
      </w:r>
    </w:p>
    <w:p w:rsidR="00A44690" w:rsidRDefault="003A21CA" w:rsidP="009573FD">
      <w:pPr>
        <w:spacing w:line="480" w:lineRule="auto"/>
        <w:ind w:firstLine="720"/>
        <w:rPr>
          <w:sz w:val="22"/>
          <w:szCs w:val="22"/>
        </w:rPr>
      </w:pPr>
      <w:r w:rsidRPr="006B3D8E">
        <w:rPr>
          <w:sz w:val="22"/>
          <w:szCs w:val="22"/>
        </w:rPr>
        <w:t xml:space="preserve">The </w:t>
      </w:r>
      <w:r w:rsidR="006B3D8E" w:rsidRPr="006B3D8E">
        <w:rPr>
          <w:sz w:val="22"/>
          <w:szCs w:val="22"/>
        </w:rPr>
        <w:t xml:space="preserve">root </w:t>
      </w:r>
      <w:r w:rsidR="005550C3">
        <w:rPr>
          <w:sz w:val="22"/>
          <w:szCs w:val="22"/>
        </w:rPr>
        <w:t>problem is that the conceptions</w:t>
      </w:r>
      <w:r w:rsidRPr="006B3D8E">
        <w:rPr>
          <w:sz w:val="22"/>
          <w:szCs w:val="22"/>
        </w:rPr>
        <w:t xml:space="preserve"> of institutions </w:t>
      </w:r>
      <w:r w:rsidR="009B4F66">
        <w:rPr>
          <w:sz w:val="22"/>
          <w:szCs w:val="22"/>
        </w:rPr>
        <w:t xml:space="preserve">and agency are </w:t>
      </w:r>
      <w:r w:rsidRPr="006B3D8E">
        <w:rPr>
          <w:sz w:val="22"/>
          <w:szCs w:val="22"/>
        </w:rPr>
        <w:t xml:space="preserve">too thin. </w:t>
      </w:r>
      <w:r w:rsidR="008E3147">
        <w:rPr>
          <w:sz w:val="22"/>
          <w:szCs w:val="22"/>
        </w:rPr>
        <w:t xml:space="preserve"> </w:t>
      </w:r>
      <w:r w:rsidR="000779F7">
        <w:rPr>
          <w:sz w:val="22"/>
          <w:szCs w:val="22"/>
        </w:rPr>
        <w:t>[</w:t>
      </w:r>
      <w:proofErr w:type="gramStart"/>
      <w:r w:rsidR="000779F7">
        <w:rPr>
          <w:sz w:val="22"/>
          <w:szCs w:val="22"/>
        </w:rPr>
        <w:t>also</w:t>
      </w:r>
      <w:proofErr w:type="gramEnd"/>
      <w:r w:rsidR="000779F7">
        <w:rPr>
          <w:sz w:val="22"/>
          <w:szCs w:val="22"/>
        </w:rPr>
        <w:t xml:space="preserve"> see anthropological concept of institutions – habits but not routines.  Mary Douglas et al.  See below.]  </w:t>
      </w:r>
      <w:r w:rsidR="008E3147">
        <w:rPr>
          <w:sz w:val="22"/>
          <w:szCs w:val="22"/>
        </w:rPr>
        <w:t>In contrast to the conception of institutions as power-distributions,</w:t>
      </w:r>
      <w:r w:rsidR="00B72425" w:rsidRPr="006B3D8E">
        <w:rPr>
          <w:sz w:val="22"/>
          <w:szCs w:val="22"/>
        </w:rPr>
        <w:t xml:space="preserve"> Christopher Ansell suggests a pragmatist conception of institutions </w:t>
      </w:r>
      <w:r w:rsidR="003164B9" w:rsidRPr="006B3D8E">
        <w:rPr>
          <w:sz w:val="22"/>
          <w:szCs w:val="22"/>
        </w:rPr>
        <w:t>that is much richer in po</w:t>
      </w:r>
      <w:r w:rsidR="008E3147">
        <w:rPr>
          <w:sz w:val="22"/>
          <w:szCs w:val="22"/>
        </w:rPr>
        <w:t xml:space="preserve">ssibilities for </w:t>
      </w:r>
      <w:proofErr w:type="gramStart"/>
      <w:r w:rsidR="008E3147">
        <w:rPr>
          <w:sz w:val="22"/>
          <w:szCs w:val="22"/>
        </w:rPr>
        <w:t xml:space="preserve">novel </w:t>
      </w:r>
      <w:r w:rsidR="00CA3FE9">
        <w:rPr>
          <w:sz w:val="22"/>
          <w:szCs w:val="22"/>
        </w:rPr>
        <w:t xml:space="preserve"> citizen</w:t>
      </w:r>
      <w:proofErr w:type="gramEnd"/>
      <w:r w:rsidR="00CA3FE9">
        <w:rPr>
          <w:sz w:val="22"/>
          <w:szCs w:val="22"/>
        </w:rPr>
        <w:t xml:space="preserve"> </w:t>
      </w:r>
      <w:r w:rsidR="008E3147">
        <w:rPr>
          <w:sz w:val="22"/>
          <w:szCs w:val="22"/>
        </w:rPr>
        <w:t>action.  I</w:t>
      </w:r>
      <w:r w:rsidR="003164B9" w:rsidRPr="006B3D8E">
        <w:rPr>
          <w:sz w:val="22"/>
          <w:szCs w:val="22"/>
        </w:rPr>
        <w:t>nstitutions are</w:t>
      </w:r>
      <w:r w:rsidR="00B72425" w:rsidRPr="006B3D8E">
        <w:rPr>
          <w:sz w:val="22"/>
          <w:szCs w:val="22"/>
        </w:rPr>
        <w:t xml:space="preserve"> </w:t>
      </w:r>
      <w:r w:rsidR="003164B9" w:rsidRPr="006B3D8E">
        <w:rPr>
          <w:sz w:val="22"/>
          <w:szCs w:val="22"/>
        </w:rPr>
        <w:t>both</w:t>
      </w:r>
      <w:r w:rsidR="00B72425" w:rsidRPr="006B3D8E">
        <w:rPr>
          <w:sz w:val="22"/>
          <w:szCs w:val="22"/>
        </w:rPr>
        <w:t xml:space="preserve"> </w:t>
      </w:r>
      <w:r w:rsidR="003164B9" w:rsidRPr="006B3D8E">
        <w:rPr>
          <w:sz w:val="22"/>
          <w:szCs w:val="22"/>
        </w:rPr>
        <w:t>instruments</w:t>
      </w:r>
      <w:r w:rsidR="00B72425" w:rsidRPr="006B3D8E">
        <w:rPr>
          <w:sz w:val="22"/>
          <w:szCs w:val="22"/>
        </w:rPr>
        <w:t xml:space="preserve"> for collective action an</w:t>
      </w:r>
      <w:r w:rsidR="003164B9" w:rsidRPr="006B3D8E">
        <w:rPr>
          <w:sz w:val="22"/>
          <w:szCs w:val="22"/>
        </w:rPr>
        <w:t>d</w:t>
      </w:r>
      <w:r w:rsidR="00B72425" w:rsidRPr="006B3D8E">
        <w:rPr>
          <w:sz w:val="22"/>
          <w:szCs w:val="22"/>
        </w:rPr>
        <w:t xml:space="preserve"> repositories of values, experience and competence.</w:t>
      </w:r>
      <w:r w:rsidR="00B72425" w:rsidRPr="006B3D8E">
        <w:rPr>
          <w:rStyle w:val="EndnoteReference"/>
          <w:sz w:val="22"/>
          <w:szCs w:val="22"/>
        </w:rPr>
        <w:endnoteReference w:id="3"/>
      </w:r>
      <w:r w:rsidR="00B72425" w:rsidRPr="006B3D8E">
        <w:rPr>
          <w:sz w:val="22"/>
          <w:szCs w:val="22"/>
        </w:rPr>
        <w:t xml:space="preserve">  </w:t>
      </w:r>
      <w:r w:rsidR="00CA3FE9">
        <w:rPr>
          <w:sz w:val="22"/>
          <w:szCs w:val="22"/>
        </w:rPr>
        <w:t xml:space="preserve"> The state is a “going concern</w:t>
      </w:r>
      <w:r w:rsidR="000B67E5">
        <w:rPr>
          <w:sz w:val="22"/>
          <w:szCs w:val="22"/>
        </w:rPr>
        <w:t>”</w:t>
      </w:r>
      <w:r w:rsidR="009B4F66">
        <w:rPr>
          <w:sz w:val="22"/>
          <w:szCs w:val="22"/>
        </w:rPr>
        <w:t>,</w:t>
      </w:r>
      <w:r w:rsidR="00CA3FE9">
        <w:rPr>
          <w:sz w:val="22"/>
          <w:szCs w:val="22"/>
        </w:rPr>
        <w:t xml:space="preserve"> as </w:t>
      </w:r>
      <w:r w:rsidR="00CA3FE9">
        <w:rPr>
          <w:sz w:val="22"/>
          <w:szCs w:val="22"/>
        </w:rPr>
        <w:lastRenderedPageBreak/>
        <w:t>John Dewey characterized it.</w:t>
      </w:r>
      <w:r w:rsidR="00CA3FE9">
        <w:rPr>
          <w:rStyle w:val="EndnoteReference"/>
          <w:sz w:val="22"/>
          <w:szCs w:val="22"/>
        </w:rPr>
        <w:endnoteReference w:id="4"/>
      </w:r>
      <w:r w:rsidR="000B67E5">
        <w:rPr>
          <w:sz w:val="22"/>
          <w:szCs w:val="22"/>
        </w:rPr>
        <w:t xml:space="preserve"> </w:t>
      </w:r>
      <w:r w:rsidR="00A44690">
        <w:rPr>
          <w:sz w:val="22"/>
          <w:szCs w:val="22"/>
        </w:rPr>
        <w:t xml:space="preserve"> </w:t>
      </w:r>
      <w:r w:rsidR="00A44690" w:rsidRPr="006B3D8E">
        <w:rPr>
          <w:sz w:val="22"/>
          <w:szCs w:val="22"/>
        </w:rPr>
        <w:t xml:space="preserve">All agents are </w:t>
      </w:r>
      <w:r w:rsidR="00A44690" w:rsidRPr="009B4F66">
        <w:rPr>
          <w:i/>
          <w:sz w:val="22"/>
          <w:szCs w:val="22"/>
        </w:rPr>
        <w:t>already performing projects</w:t>
      </w:r>
      <w:r w:rsidR="00A44690" w:rsidRPr="006B3D8E">
        <w:rPr>
          <w:sz w:val="22"/>
          <w:szCs w:val="22"/>
        </w:rPr>
        <w:t xml:space="preserve"> because we’re all working in ecologies of institutions; much of the action is performed accordin</w:t>
      </w:r>
      <w:r w:rsidR="00A44690">
        <w:rPr>
          <w:sz w:val="22"/>
          <w:szCs w:val="22"/>
        </w:rPr>
        <w:t xml:space="preserve">g learned behavior or </w:t>
      </w:r>
      <w:r w:rsidR="00A44690" w:rsidRPr="006B3D8E">
        <w:rPr>
          <w:sz w:val="22"/>
          <w:szCs w:val="22"/>
        </w:rPr>
        <w:t xml:space="preserve">dispositions that orient us to act.  These orientations are powerful – they help us coordinate with others to achieve goals – </w:t>
      </w:r>
      <w:r w:rsidR="00A44690">
        <w:rPr>
          <w:sz w:val="22"/>
          <w:szCs w:val="22"/>
        </w:rPr>
        <w:t>but</w:t>
      </w:r>
      <w:r w:rsidR="00A44690" w:rsidRPr="006B3D8E">
        <w:rPr>
          <w:sz w:val="22"/>
          <w:szCs w:val="22"/>
        </w:rPr>
        <w:t xml:space="preserve"> they are flexible because the det</w:t>
      </w:r>
      <w:r w:rsidR="009B4F66">
        <w:rPr>
          <w:sz w:val="22"/>
          <w:szCs w:val="22"/>
        </w:rPr>
        <w:t>ails of what we do are not precis</w:t>
      </w:r>
      <w:r w:rsidR="00A44690" w:rsidRPr="006B3D8E">
        <w:rPr>
          <w:sz w:val="22"/>
          <w:szCs w:val="22"/>
        </w:rPr>
        <w:t xml:space="preserve">ely prescribed by them. </w:t>
      </w:r>
      <w:r w:rsidR="00A44690">
        <w:rPr>
          <w:sz w:val="22"/>
          <w:szCs w:val="22"/>
        </w:rPr>
        <w:t xml:space="preserve"> S</w:t>
      </w:r>
      <w:r w:rsidR="00A44690" w:rsidRPr="006B3D8E">
        <w:rPr>
          <w:sz w:val="22"/>
          <w:szCs w:val="22"/>
        </w:rPr>
        <w:t xml:space="preserve">ituated agency refers to the ways in which institutions organize the places of action and the extent to which institutions contribute to the capacity of agents to successfully address problems they perceive.  </w:t>
      </w:r>
    </w:p>
    <w:p w:rsidR="00AD70F8" w:rsidRDefault="00CA3FE9" w:rsidP="009573FD">
      <w:pPr>
        <w:spacing w:line="480" w:lineRule="auto"/>
        <w:ind w:firstLine="720"/>
        <w:rPr>
          <w:sz w:val="22"/>
          <w:szCs w:val="22"/>
        </w:rPr>
      </w:pPr>
      <w:r>
        <w:rPr>
          <w:sz w:val="22"/>
          <w:szCs w:val="22"/>
        </w:rPr>
        <w:t>T</w:t>
      </w:r>
      <w:r w:rsidR="006423A5">
        <w:rPr>
          <w:sz w:val="22"/>
          <w:szCs w:val="22"/>
        </w:rPr>
        <w:t xml:space="preserve">he agents of organizational action </w:t>
      </w:r>
      <w:r w:rsidR="000B67E5">
        <w:rPr>
          <w:sz w:val="22"/>
          <w:szCs w:val="22"/>
        </w:rPr>
        <w:t>develop self-cons</w:t>
      </w:r>
      <w:r w:rsidR="006423A5">
        <w:rPr>
          <w:sz w:val="22"/>
          <w:szCs w:val="22"/>
        </w:rPr>
        <w:t xml:space="preserve">ciousness about their missions – </w:t>
      </w:r>
      <w:r w:rsidR="000B67E5">
        <w:rPr>
          <w:sz w:val="22"/>
          <w:szCs w:val="22"/>
        </w:rPr>
        <w:t xml:space="preserve">somewhat as we think about the </w:t>
      </w:r>
      <w:r w:rsidR="009B4F66">
        <w:rPr>
          <w:sz w:val="22"/>
          <w:szCs w:val="22"/>
        </w:rPr>
        <w:t xml:space="preserve">achievement of </w:t>
      </w:r>
      <w:r w:rsidR="000B67E5">
        <w:rPr>
          <w:sz w:val="22"/>
          <w:szCs w:val="22"/>
        </w:rPr>
        <w:t>autonomy of the state, but now</w:t>
      </w:r>
      <w:r w:rsidR="00A44690">
        <w:rPr>
          <w:sz w:val="22"/>
          <w:szCs w:val="22"/>
        </w:rPr>
        <w:t xml:space="preserve"> not </w:t>
      </w:r>
      <w:r w:rsidR="006423A5">
        <w:rPr>
          <w:sz w:val="22"/>
          <w:szCs w:val="22"/>
        </w:rPr>
        <w:t>predetermined by</w:t>
      </w:r>
      <w:r w:rsidR="00A44690">
        <w:rPr>
          <w:sz w:val="22"/>
          <w:szCs w:val="22"/>
        </w:rPr>
        <w:t xml:space="preserve"> our notions of “</w:t>
      </w:r>
      <w:proofErr w:type="spellStart"/>
      <w:r w:rsidR="00A44690">
        <w:rPr>
          <w:sz w:val="22"/>
          <w:szCs w:val="22"/>
        </w:rPr>
        <w:t>stateness</w:t>
      </w:r>
      <w:proofErr w:type="spellEnd"/>
      <w:r w:rsidR="00A44690">
        <w:rPr>
          <w:sz w:val="22"/>
          <w:szCs w:val="22"/>
        </w:rPr>
        <w:t>” or by</w:t>
      </w:r>
      <w:r w:rsidR="006423A5">
        <w:rPr>
          <w:sz w:val="22"/>
          <w:szCs w:val="22"/>
        </w:rPr>
        <w:t xml:space="preserve"> the dominant political coalition.  </w:t>
      </w:r>
      <w:r w:rsidR="00A44690">
        <w:rPr>
          <w:sz w:val="22"/>
          <w:szCs w:val="22"/>
        </w:rPr>
        <w:t>Ansell argues that</w:t>
      </w:r>
      <w:r w:rsidR="00AD70F8">
        <w:rPr>
          <w:sz w:val="22"/>
          <w:szCs w:val="22"/>
        </w:rPr>
        <w:t>,</w:t>
      </w:r>
      <w:r w:rsidR="00A44690">
        <w:rPr>
          <w:sz w:val="22"/>
          <w:szCs w:val="22"/>
        </w:rPr>
        <w:t xml:space="preserve"> i</w:t>
      </w:r>
      <w:r w:rsidR="002902A0">
        <w:rPr>
          <w:sz w:val="22"/>
          <w:szCs w:val="22"/>
        </w:rPr>
        <w:t xml:space="preserve">n contrast to Weber’s </w:t>
      </w:r>
      <w:r w:rsidR="006423A5">
        <w:rPr>
          <w:sz w:val="22"/>
          <w:szCs w:val="22"/>
        </w:rPr>
        <w:t xml:space="preserve">bureaucracy with a fixed </w:t>
      </w:r>
      <w:r w:rsidR="00256BB2">
        <w:rPr>
          <w:sz w:val="22"/>
          <w:szCs w:val="22"/>
        </w:rPr>
        <w:t>goal and rational design</w:t>
      </w:r>
      <w:r w:rsidR="00AD70F8">
        <w:rPr>
          <w:sz w:val="22"/>
          <w:szCs w:val="22"/>
        </w:rPr>
        <w:t>,</w:t>
      </w:r>
      <w:r w:rsidR="00256BB2">
        <w:rPr>
          <w:sz w:val="22"/>
          <w:szCs w:val="22"/>
        </w:rPr>
        <w:t xml:space="preserve"> </w:t>
      </w:r>
      <w:r w:rsidR="008E3147">
        <w:rPr>
          <w:sz w:val="22"/>
          <w:szCs w:val="22"/>
        </w:rPr>
        <w:t>institutions are</w:t>
      </w:r>
      <w:r w:rsidR="00256BB2">
        <w:rPr>
          <w:sz w:val="22"/>
          <w:szCs w:val="22"/>
        </w:rPr>
        <w:t xml:space="preserve"> relationships between</w:t>
      </w:r>
      <w:r w:rsidR="00A44690">
        <w:rPr>
          <w:sz w:val="22"/>
          <w:szCs w:val="22"/>
        </w:rPr>
        <w:t xml:space="preserve"> symbolic arti</w:t>
      </w:r>
      <w:r w:rsidR="008E3147">
        <w:rPr>
          <w:sz w:val="22"/>
          <w:szCs w:val="22"/>
        </w:rPr>
        <w:t>facts</w:t>
      </w:r>
      <w:r w:rsidR="00256BB2">
        <w:rPr>
          <w:sz w:val="22"/>
          <w:szCs w:val="22"/>
        </w:rPr>
        <w:t xml:space="preserve"> that mediate social relationships</w:t>
      </w:r>
      <w:r w:rsidR="00167421">
        <w:rPr>
          <w:sz w:val="22"/>
          <w:szCs w:val="22"/>
        </w:rPr>
        <w:t xml:space="preserve"> </w:t>
      </w:r>
      <w:r w:rsidR="008E3147">
        <w:rPr>
          <w:sz w:val="22"/>
          <w:szCs w:val="22"/>
        </w:rPr>
        <w:t>– su</w:t>
      </w:r>
      <w:r w:rsidR="00AD70F8">
        <w:rPr>
          <w:sz w:val="22"/>
          <w:szCs w:val="22"/>
        </w:rPr>
        <w:t>ch as Social Security</w:t>
      </w:r>
      <w:r w:rsidR="008E3147">
        <w:rPr>
          <w:sz w:val="22"/>
          <w:szCs w:val="22"/>
        </w:rPr>
        <w:t>, equal opportunity, tax fairness</w:t>
      </w:r>
      <w:r w:rsidR="00AD70F8">
        <w:rPr>
          <w:sz w:val="22"/>
          <w:szCs w:val="22"/>
        </w:rPr>
        <w:t>, making work pay, the right to access to health care</w:t>
      </w:r>
      <w:r w:rsidR="008E3147">
        <w:rPr>
          <w:sz w:val="22"/>
          <w:szCs w:val="22"/>
        </w:rPr>
        <w:t xml:space="preserve"> – </w:t>
      </w:r>
      <w:r w:rsidR="006423A5">
        <w:rPr>
          <w:sz w:val="22"/>
          <w:szCs w:val="22"/>
        </w:rPr>
        <w:t>that ar</w:t>
      </w:r>
      <w:r w:rsidR="008E3147">
        <w:rPr>
          <w:sz w:val="22"/>
          <w:szCs w:val="22"/>
        </w:rPr>
        <w:t xml:space="preserve">e </w:t>
      </w:r>
      <w:r w:rsidR="008E3147" w:rsidRPr="00AD70F8">
        <w:rPr>
          <w:i/>
          <w:sz w:val="22"/>
          <w:szCs w:val="22"/>
        </w:rPr>
        <w:t xml:space="preserve">partly fixed </w:t>
      </w:r>
      <w:r w:rsidR="00256BB2" w:rsidRPr="00AD70F8">
        <w:rPr>
          <w:i/>
          <w:sz w:val="22"/>
          <w:szCs w:val="22"/>
        </w:rPr>
        <w:t>and partly evolving</w:t>
      </w:r>
      <w:r w:rsidR="00256BB2">
        <w:rPr>
          <w:sz w:val="22"/>
          <w:szCs w:val="22"/>
        </w:rPr>
        <w:t xml:space="preserve"> </w:t>
      </w:r>
      <w:r w:rsidR="008E3147">
        <w:rPr>
          <w:sz w:val="22"/>
          <w:szCs w:val="22"/>
        </w:rPr>
        <w:t>as they are used by the organizations that carry them out</w:t>
      </w:r>
      <w:r w:rsidR="002902A0">
        <w:rPr>
          <w:sz w:val="22"/>
          <w:szCs w:val="22"/>
        </w:rPr>
        <w:t>, as they interact with other concepts pursued by other organizations, and as they become objects of public interest and expectation</w:t>
      </w:r>
      <w:r w:rsidR="008E3147">
        <w:rPr>
          <w:sz w:val="22"/>
          <w:szCs w:val="22"/>
        </w:rPr>
        <w:t>.</w:t>
      </w:r>
      <w:r w:rsidR="002902A0">
        <w:rPr>
          <w:rStyle w:val="EndnoteReference"/>
          <w:sz w:val="22"/>
          <w:szCs w:val="22"/>
        </w:rPr>
        <w:endnoteReference w:id="5"/>
      </w:r>
      <w:r w:rsidR="006423A5">
        <w:rPr>
          <w:sz w:val="22"/>
          <w:szCs w:val="22"/>
        </w:rPr>
        <w:t xml:space="preserve"> </w:t>
      </w:r>
      <w:r w:rsidR="00060867">
        <w:rPr>
          <w:sz w:val="22"/>
          <w:szCs w:val="22"/>
        </w:rPr>
        <w:t xml:space="preserve"> </w:t>
      </w:r>
    </w:p>
    <w:p w:rsidR="00373434" w:rsidRDefault="00060867" w:rsidP="009573FD">
      <w:pPr>
        <w:spacing w:line="480" w:lineRule="auto"/>
        <w:ind w:firstLine="720"/>
        <w:rPr>
          <w:sz w:val="22"/>
          <w:szCs w:val="22"/>
        </w:rPr>
      </w:pPr>
      <w:r>
        <w:rPr>
          <w:sz w:val="22"/>
          <w:szCs w:val="22"/>
        </w:rPr>
        <w:t>The</w:t>
      </w:r>
      <w:r w:rsidR="00256BB2">
        <w:rPr>
          <w:sz w:val="22"/>
          <w:szCs w:val="22"/>
        </w:rPr>
        <w:t xml:space="preserve"> important </w:t>
      </w:r>
      <w:r>
        <w:rPr>
          <w:sz w:val="22"/>
          <w:szCs w:val="22"/>
        </w:rPr>
        <w:t xml:space="preserve">point </w:t>
      </w:r>
      <w:r w:rsidR="00256BB2">
        <w:rPr>
          <w:sz w:val="22"/>
          <w:szCs w:val="22"/>
        </w:rPr>
        <w:t xml:space="preserve">about this is that institutions are a means for social learning and developing capacities and </w:t>
      </w:r>
      <w:r w:rsidR="00256BB2" w:rsidRPr="00AD70F8">
        <w:rPr>
          <w:i/>
          <w:sz w:val="22"/>
          <w:szCs w:val="22"/>
        </w:rPr>
        <w:t>not only for</w:t>
      </w:r>
      <w:r w:rsidR="00256BB2">
        <w:rPr>
          <w:sz w:val="22"/>
          <w:szCs w:val="22"/>
        </w:rPr>
        <w:t xml:space="preserve"> the imposition of a dominant coalition’s preferences.  There is a cognitive and cultural dimension that engages the imagination and energy of both the primary agents in the institution and the secondary agents – also known as the public</w:t>
      </w:r>
      <w:r w:rsidR="00F82B56">
        <w:rPr>
          <w:sz w:val="22"/>
          <w:szCs w:val="22"/>
        </w:rPr>
        <w:t xml:space="preserve">.  </w:t>
      </w:r>
      <w:r w:rsidR="00AD70F8">
        <w:rPr>
          <w:sz w:val="22"/>
          <w:szCs w:val="22"/>
        </w:rPr>
        <w:t xml:space="preserve">Mary Douglas’ phrase is that people think </w:t>
      </w:r>
      <w:r w:rsidR="006C1296">
        <w:rPr>
          <w:sz w:val="22"/>
          <w:szCs w:val="22"/>
        </w:rPr>
        <w:t>their institutions.</w:t>
      </w:r>
      <w:r w:rsidR="006C1296">
        <w:rPr>
          <w:rStyle w:val="EndnoteReference"/>
          <w:sz w:val="22"/>
          <w:szCs w:val="22"/>
        </w:rPr>
        <w:endnoteReference w:id="6"/>
      </w:r>
      <w:r w:rsidR="006C1296">
        <w:rPr>
          <w:sz w:val="22"/>
          <w:szCs w:val="22"/>
        </w:rPr>
        <w:t xml:space="preserve">  </w:t>
      </w:r>
      <w:r w:rsidR="009B4F66">
        <w:rPr>
          <w:sz w:val="22"/>
          <w:szCs w:val="22"/>
        </w:rPr>
        <w:t>[</w:t>
      </w:r>
      <w:r w:rsidR="00373434">
        <w:rPr>
          <w:sz w:val="22"/>
          <w:szCs w:val="22"/>
        </w:rPr>
        <w:t xml:space="preserve">We all live in </w:t>
      </w:r>
      <w:r w:rsidR="00862316">
        <w:rPr>
          <w:sz w:val="22"/>
          <w:szCs w:val="22"/>
        </w:rPr>
        <w:t xml:space="preserve">multiple </w:t>
      </w:r>
      <w:r w:rsidR="00D56647">
        <w:rPr>
          <w:sz w:val="22"/>
          <w:szCs w:val="22"/>
        </w:rPr>
        <w:t>relationships or associations that are governed</w:t>
      </w:r>
      <w:r w:rsidR="00862316">
        <w:rPr>
          <w:sz w:val="22"/>
          <w:szCs w:val="22"/>
        </w:rPr>
        <w:t xml:space="preserve"> by inter-related institution</w:t>
      </w:r>
      <w:r w:rsidR="00373434">
        <w:rPr>
          <w:sz w:val="22"/>
          <w:szCs w:val="22"/>
        </w:rPr>
        <w:t>s</w:t>
      </w:r>
      <w:r w:rsidR="00AD70F8">
        <w:rPr>
          <w:sz w:val="22"/>
          <w:szCs w:val="22"/>
        </w:rPr>
        <w:t xml:space="preserve"> that orient us conceptually</w:t>
      </w:r>
      <w:r w:rsidR="00373434">
        <w:rPr>
          <w:sz w:val="22"/>
          <w:szCs w:val="22"/>
        </w:rPr>
        <w:t>.</w:t>
      </w:r>
      <w:r w:rsidR="009B4F66">
        <w:rPr>
          <w:sz w:val="22"/>
          <w:szCs w:val="22"/>
        </w:rPr>
        <w:t>]</w:t>
      </w:r>
      <w:r w:rsidR="00373434">
        <w:rPr>
          <w:sz w:val="22"/>
          <w:szCs w:val="22"/>
        </w:rPr>
        <w:t xml:space="preserve">  </w:t>
      </w:r>
    </w:p>
    <w:p w:rsidR="009B4F66" w:rsidRDefault="00060867" w:rsidP="00837774">
      <w:pPr>
        <w:spacing w:line="480" w:lineRule="auto"/>
        <w:ind w:firstLine="720"/>
        <w:rPr>
          <w:sz w:val="22"/>
          <w:szCs w:val="22"/>
        </w:rPr>
      </w:pPr>
      <w:r>
        <w:rPr>
          <w:sz w:val="22"/>
          <w:szCs w:val="22"/>
        </w:rPr>
        <w:t>How do these different conceptions of institutions and agents</w:t>
      </w:r>
      <w:r w:rsidR="00256BB2">
        <w:rPr>
          <w:sz w:val="22"/>
          <w:szCs w:val="22"/>
        </w:rPr>
        <w:t xml:space="preserve"> help us explain institutional change?  First, </w:t>
      </w:r>
      <w:r w:rsidR="00F82B56">
        <w:rPr>
          <w:sz w:val="22"/>
          <w:szCs w:val="22"/>
        </w:rPr>
        <w:t xml:space="preserve">change is not so much about “gaps” in </w:t>
      </w:r>
      <w:r w:rsidR="004F07C5">
        <w:rPr>
          <w:sz w:val="22"/>
          <w:szCs w:val="22"/>
        </w:rPr>
        <w:t xml:space="preserve">the </w:t>
      </w:r>
      <w:r w:rsidR="00F82B56">
        <w:rPr>
          <w:sz w:val="22"/>
          <w:szCs w:val="22"/>
        </w:rPr>
        <w:t xml:space="preserve">control </w:t>
      </w:r>
      <w:r w:rsidR="004F07C5">
        <w:rPr>
          <w:sz w:val="22"/>
          <w:szCs w:val="22"/>
        </w:rPr>
        <w:t>exercised by</w:t>
      </w:r>
      <w:r w:rsidR="004221F8">
        <w:rPr>
          <w:sz w:val="22"/>
          <w:szCs w:val="22"/>
        </w:rPr>
        <w:t xml:space="preserve"> a </w:t>
      </w:r>
      <w:r w:rsidR="004221F8">
        <w:rPr>
          <w:sz w:val="22"/>
          <w:szCs w:val="22"/>
        </w:rPr>
        <w:lastRenderedPageBreak/>
        <w:t>semi-</w:t>
      </w:r>
      <w:proofErr w:type="spellStart"/>
      <w:r w:rsidR="004221F8">
        <w:rPr>
          <w:sz w:val="22"/>
          <w:szCs w:val="22"/>
        </w:rPr>
        <w:t>Weberian</w:t>
      </w:r>
      <w:proofErr w:type="spellEnd"/>
      <w:r w:rsidR="004221F8">
        <w:rPr>
          <w:sz w:val="22"/>
          <w:szCs w:val="22"/>
        </w:rPr>
        <w:t xml:space="preserve"> bureaucracy </w:t>
      </w:r>
      <w:r w:rsidR="00F82B56">
        <w:rPr>
          <w:sz w:val="22"/>
          <w:szCs w:val="22"/>
        </w:rPr>
        <w:t xml:space="preserve">as it is about the how teams of agents coordinate their actions to carry out </w:t>
      </w:r>
      <w:r w:rsidR="00373434">
        <w:rPr>
          <w:sz w:val="22"/>
          <w:szCs w:val="22"/>
        </w:rPr>
        <w:t>a version of an</w:t>
      </w:r>
      <w:r w:rsidR="00F82B56">
        <w:rPr>
          <w:sz w:val="22"/>
          <w:szCs w:val="22"/>
        </w:rPr>
        <w:t xml:space="preserve"> institution’s project.  Institutional agents have dispositions</w:t>
      </w:r>
      <w:r w:rsidR="00AD70F8">
        <w:rPr>
          <w:sz w:val="22"/>
          <w:szCs w:val="22"/>
        </w:rPr>
        <w:t>, as I said</w:t>
      </w:r>
      <w:r w:rsidR="00F82B56">
        <w:rPr>
          <w:sz w:val="22"/>
          <w:szCs w:val="22"/>
        </w:rPr>
        <w:t xml:space="preserve"> – an institutionally-influenced action-oriented attitude – to </w:t>
      </w:r>
      <w:r w:rsidR="00D56647">
        <w:rPr>
          <w:sz w:val="22"/>
          <w:szCs w:val="22"/>
        </w:rPr>
        <w:t xml:space="preserve">interpret the </w:t>
      </w:r>
      <w:r w:rsidR="00F82B56">
        <w:rPr>
          <w:sz w:val="22"/>
          <w:szCs w:val="22"/>
        </w:rPr>
        <w:t>situations</w:t>
      </w:r>
      <w:r w:rsidR="00D56647">
        <w:rPr>
          <w:sz w:val="22"/>
          <w:szCs w:val="22"/>
        </w:rPr>
        <w:t xml:space="preserve"> they face</w:t>
      </w:r>
      <w:r w:rsidR="00F82B56">
        <w:rPr>
          <w:sz w:val="22"/>
          <w:szCs w:val="22"/>
        </w:rPr>
        <w:t xml:space="preserve"> according to institutional concepts.  </w:t>
      </w:r>
      <w:r w:rsidR="00373434">
        <w:rPr>
          <w:sz w:val="22"/>
          <w:szCs w:val="22"/>
        </w:rPr>
        <w:t xml:space="preserve">One technique </w:t>
      </w:r>
      <w:r w:rsidR="004221F8">
        <w:rPr>
          <w:sz w:val="22"/>
          <w:szCs w:val="22"/>
        </w:rPr>
        <w:t xml:space="preserve">for handling </w:t>
      </w:r>
      <w:r w:rsidR="00AD70F8">
        <w:rPr>
          <w:sz w:val="22"/>
          <w:szCs w:val="22"/>
        </w:rPr>
        <w:t>a new situation</w:t>
      </w:r>
      <w:r w:rsidR="004221F8">
        <w:rPr>
          <w:sz w:val="22"/>
          <w:szCs w:val="22"/>
        </w:rPr>
        <w:t xml:space="preserve"> is</w:t>
      </w:r>
      <w:r w:rsidR="00373434">
        <w:rPr>
          <w:sz w:val="22"/>
          <w:szCs w:val="22"/>
        </w:rPr>
        <w:t xml:space="preserve"> to develop the </w:t>
      </w:r>
      <w:r w:rsidR="004221F8">
        <w:rPr>
          <w:sz w:val="22"/>
          <w:szCs w:val="22"/>
        </w:rPr>
        <w:t>institution’s</w:t>
      </w:r>
      <w:r w:rsidR="00373434">
        <w:rPr>
          <w:sz w:val="22"/>
          <w:szCs w:val="22"/>
        </w:rPr>
        <w:t xml:space="preserve"> competence. </w:t>
      </w:r>
      <w:r w:rsidR="004221F8">
        <w:rPr>
          <w:sz w:val="22"/>
          <w:szCs w:val="22"/>
        </w:rPr>
        <w:t xml:space="preserve"> </w:t>
      </w:r>
      <w:r w:rsidR="00AD70F8">
        <w:rPr>
          <w:sz w:val="22"/>
          <w:szCs w:val="22"/>
        </w:rPr>
        <w:t>Daniel Galvin’s study of National Party Committees shows agents pursuing this response.</w:t>
      </w:r>
      <w:r w:rsidR="00AD70F8">
        <w:rPr>
          <w:rStyle w:val="EndnoteReference"/>
          <w:sz w:val="22"/>
          <w:szCs w:val="22"/>
        </w:rPr>
        <w:endnoteReference w:id="7"/>
      </w:r>
      <w:r w:rsidR="00AD70F8">
        <w:rPr>
          <w:sz w:val="22"/>
          <w:szCs w:val="22"/>
        </w:rPr>
        <w:t xml:space="preserve"> </w:t>
      </w:r>
      <w:r w:rsidR="004221F8">
        <w:rPr>
          <w:sz w:val="22"/>
          <w:szCs w:val="22"/>
        </w:rPr>
        <w:t>I</w:t>
      </w:r>
      <w:r w:rsidR="00373434">
        <w:rPr>
          <w:sz w:val="22"/>
          <w:szCs w:val="22"/>
        </w:rPr>
        <w:t xml:space="preserve">n </w:t>
      </w:r>
      <w:r w:rsidR="004221F8">
        <w:rPr>
          <w:sz w:val="22"/>
          <w:szCs w:val="22"/>
        </w:rPr>
        <w:t xml:space="preserve">more </w:t>
      </w:r>
      <w:r w:rsidR="00373434">
        <w:rPr>
          <w:sz w:val="22"/>
          <w:szCs w:val="22"/>
        </w:rPr>
        <w:t>problematic situations, primary and secondary agents</w:t>
      </w:r>
      <w:r w:rsidR="00373434" w:rsidRPr="006B3D8E">
        <w:rPr>
          <w:sz w:val="22"/>
          <w:szCs w:val="22"/>
        </w:rPr>
        <w:t xml:space="preserve"> have </w:t>
      </w:r>
      <w:r w:rsidR="00373434">
        <w:rPr>
          <w:sz w:val="22"/>
          <w:szCs w:val="22"/>
        </w:rPr>
        <w:t xml:space="preserve">the capacity to reflect on what kind of situation it is and to draw </w:t>
      </w:r>
      <w:r w:rsidR="004F07C5">
        <w:rPr>
          <w:sz w:val="22"/>
          <w:szCs w:val="22"/>
        </w:rPr>
        <w:t xml:space="preserve">institutional </w:t>
      </w:r>
      <w:r w:rsidR="00373434">
        <w:rPr>
          <w:sz w:val="22"/>
          <w:szCs w:val="22"/>
        </w:rPr>
        <w:t xml:space="preserve">resources </w:t>
      </w:r>
      <w:r w:rsidR="00DB3029">
        <w:rPr>
          <w:sz w:val="22"/>
          <w:szCs w:val="22"/>
        </w:rPr>
        <w:t xml:space="preserve">– including resources </w:t>
      </w:r>
      <w:r w:rsidR="00373434">
        <w:rPr>
          <w:sz w:val="22"/>
          <w:szCs w:val="22"/>
        </w:rPr>
        <w:t xml:space="preserve">from </w:t>
      </w:r>
      <w:r w:rsidR="00D56647">
        <w:rPr>
          <w:sz w:val="22"/>
          <w:szCs w:val="22"/>
        </w:rPr>
        <w:t>the broader set of</w:t>
      </w:r>
      <w:r w:rsidR="004221F8">
        <w:rPr>
          <w:sz w:val="22"/>
          <w:szCs w:val="22"/>
        </w:rPr>
        <w:t xml:space="preserve"> </w:t>
      </w:r>
      <w:r w:rsidR="004F07C5">
        <w:rPr>
          <w:sz w:val="22"/>
          <w:szCs w:val="22"/>
        </w:rPr>
        <w:t>association</w:t>
      </w:r>
      <w:r w:rsidR="00373434" w:rsidRPr="006B3D8E">
        <w:rPr>
          <w:sz w:val="22"/>
          <w:szCs w:val="22"/>
        </w:rPr>
        <w:t>s</w:t>
      </w:r>
      <w:r w:rsidR="00DB3029">
        <w:rPr>
          <w:sz w:val="22"/>
          <w:szCs w:val="22"/>
        </w:rPr>
        <w:t xml:space="preserve"> that they’re participating in –</w:t>
      </w:r>
      <w:r w:rsidR="00373434">
        <w:rPr>
          <w:sz w:val="22"/>
          <w:szCs w:val="22"/>
        </w:rPr>
        <w:t xml:space="preserve"> </w:t>
      </w:r>
      <w:r w:rsidR="00062CCA">
        <w:rPr>
          <w:sz w:val="22"/>
          <w:szCs w:val="22"/>
        </w:rPr>
        <w:t>to assemble the elements they need</w:t>
      </w:r>
      <w:r w:rsidR="00373434" w:rsidRPr="006B3D8E">
        <w:rPr>
          <w:sz w:val="22"/>
          <w:szCs w:val="22"/>
        </w:rPr>
        <w:t xml:space="preserve"> to bring their work to fruition.</w:t>
      </w:r>
      <w:r w:rsidR="009B4F66">
        <w:rPr>
          <w:sz w:val="22"/>
          <w:szCs w:val="22"/>
        </w:rPr>
        <w:t xml:space="preserve">  </w:t>
      </w:r>
    </w:p>
    <w:p w:rsidR="00C1571B" w:rsidRDefault="009B4F66" w:rsidP="009B4F66">
      <w:pPr>
        <w:spacing w:line="480" w:lineRule="auto"/>
        <w:ind w:firstLine="720"/>
        <w:rPr>
          <w:sz w:val="22"/>
          <w:szCs w:val="22"/>
        </w:rPr>
      </w:pPr>
      <w:r>
        <w:rPr>
          <w:sz w:val="22"/>
          <w:szCs w:val="22"/>
        </w:rPr>
        <w:t xml:space="preserve">[E.g. the extension of Social Security pensions to farm workers (and others) occurred when tax fairness was connected to contributory pension funding.   Similarly </w:t>
      </w:r>
      <w:proofErr w:type="spellStart"/>
      <w:r>
        <w:rPr>
          <w:sz w:val="22"/>
          <w:szCs w:val="22"/>
        </w:rPr>
        <w:t>Obamacare</w:t>
      </w:r>
      <w:proofErr w:type="spellEnd"/>
      <w:r>
        <w:rPr>
          <w:sz w:val="22"/>
          <w:szCs w:val="22"/>
        </w:rPr>
        <w:t xml:space="preserve"> link</w:t>
      </w:r>
      <w:r w:rsidR="000779F7">
        <w:rPr>
          <w:sz w:val="22"/>
          <w:szCs w:val="22"/>
        </w:rPr>
        <w:t>s</w:t>
      </w:r>
      <w:r>
        <w:rPr>
          <w:sz w:val="22"/>
          <w:szCs w:val="22"/>
        </w:rPr>
        <w:t xml:space="preserve"> access to health care with a mandate to buy health insurance.]</w:t>
      </w:r>
    </w:p>
    <w:p w:rsidR="00C321F1" w:rsidRDefault="009B4F66" w:rsidP="00C321F1">
      <w:pPr>
        <w:spacing w:line="480" w:lineRule="auto"/>
        <w:ind w:firstLine="720"/>
        <w:rPr>
          <w:sz w:val="22"/>
          <w:szCs w:val="22"/>
        </w:rPr>
      </w:pPr>
      <w:r>
        <w:rPr>
          <w:sz w:val="22"/>
          <w:szCs w:val="22"/>
        </w:rPr>
        <w:t>When a</w:t>
      </w:r>
      <w:r w:rsidR="00C1571B">
        <w:rPr>
          <w:sz w:val="22"/>
          <w:szCs w:val="22"/>
        </w:rPr>
        <w:t xml:space="preserve"> crisis situation</w:t>
      </w:r>
      <w:r>
        <w:rPr>
          <w:sz w:val="22"/>
          <w:szCs w:val="22"/>
        </w:rPr>
        <w:t xml:space="preserve"> for the U.S. auto companies</w:t>
      </w:r>
      <w:r w:rsidR="00C1571B">
        <w:rPr>
          <w:sz w:val="22"/>
          <w:szCs w:val="22"/>
        </w:rPr>
        <w:t xml:space="preserve"> emerged in the late 1970’s when Japanese manufacturers score</w:t>
      </w:r>
      <w:r>
        <w:rPr>
          <w:sz w:val="22"/>
          <w:szCs w:val="22"/>
        </w:rPr>
        <w:t>d big sales in the U.S. market</w:t>
      </w:r>
      <w:r w:rsidR="009B7484">
        <w:rPr>
          <w:sz w:val="22"/>
          <w:szCs w:val="22"/>
        </w:rPr>
        <w:t>, t</w:t>
      </w:r>
      <w:r w:rsidR="00C1571B">
        <w:rPr>
          <w:sz w:val="22"/>
          <w:szCs w:val="22"/>
        </w:rPr>
        <w:t>he first task for people in the American companies was to f</w:t>
      </w:r>
      <w:r w:rsidR="00C321F1">
        <w:rPr>
          <w:sz w:val="22"/>
          <w:szCs w:val="22"/>
        </w:rPr>
        <w:t>igure out what kind of crisis it</w:t>
      </w:r>
      <w:r w:rsidR="00C1571B">
        <w:rPr>
          <w:sz w:val="22"/>
          <w:szCs w:val="22"/>
        </w:rPr>
        <w:t xml:space="preserve"> was</w:t>
      </w:r>
      <w:r w:rsidR="00C321F1">
        <w:rPr>
          <w:sz w:val="22"/>
          <w:szCs w:val="22"/>
        </w:rPr>
        <w:t>.  Maybe the popularity of Japanese cars was a fad.  Maybe the source of Japanese success was cheap labor or something pec</w:t>
      </w:r>
      <w:r>
        <w:rPr>
          <w:sz w:val="22"/>
          <w:szCs w:val="22"/>
        </w:rPr>
        <w:t>uliar about Japanese culture or production technologies that could be purchased off-the-shelf.  As I’ll sketch out later, whatever the cause</w:t>
      </w:r>
      <w:r w:rsidR="00C321F1">
        <w:rPr>
          <w:sz w:val="22"/>
          <w:szCs w:val="22"/>
        </w:rPr>
        <w:t xml:space="preserve">, getting their arms around a common concept of the problem was critical for </w:t>
      </w:r>
      <w:r>
        <w:rPr>
          <w:sz w:val="22"/>
          <w:szCs w:val="22"/>
        </w:rPr>
        <w:t>Americans to proceed</w:t>
      </w:r>
      <w:r w:rsidR="00C321F1">
        <w:rPr>
          <w:sz w:val="22"/>
          <w:szCs w:val="22"/>
        </w:rPr>
        <w:t xml:space="preserve"> to do something about it. </w:t>
      </w:r>
      <w:r w:rsidR="009B7484">
        <w:rPr>
          <w:sz w:val="22"/>
          <w:szCs w:val="22"/>
        </w:rPr>
        <w:t xml:space="preserve"> E</w:t>
      </w:r>
      <w:r w:rsidR="00C321F1">
        <w:rPr>
          <w:sz w:val="22"/>
          <w:szCs w:val="22"/>
        </w:rPr>
        <w:t xml:space="preserve">mployees and managers drew from the existing institutional repertoire of auto manufacturing but </w:t>
      </w:r>
      <w:r w:rsidR="009B7484">
        <w:rPr>
          <w:sz w:val="22"/>
          <w:szCs w:val="22"/>
        </w:rPr>
        <w:t xml:space="preserve">they </w:t>
      </w:r>
      <w:r w:rsidR="00C321F1">
        <w:rPr>
          <w:sz w:val="22"/>
          <w:szCs w:val="22"/>
        </w:rPr>
        <w:t>also began a systematic search beyond the</w:t>
      </w:r>
      <w:r w:rsidR="009B7484">
        <w:rPr>
          <w:sz w:val="22"/>
          <w:szCs w:val="22"/>
        </w:rPr>
        <w:t>ir</w:t>
      </w:r>
      <w:r w:rsidR="00C321F1">
        <w:rPr>
          <w:sz w:val="22"/>
          <w:szCs w:val="22"/>
        </w:rPr>
        <w:t xml:space="preserve"> boundaries for ne</w:t>
      </w:r>
      <w:r>
        <w:rPr>
          <w:sz w:val="22"/>
          <w:szCs w:val="22"/>
        </w:rPr>
        <w:t xml:space="preserve">w techniques to help them succeed in </w:t>
      </w:r>
      <w:r w:rsidR="00C321F1">
        <w:rPr>
          <w:sz w:val="22"/>
          <w:szCs w:val="22"/>
        </w:rPr>
        <w:t>the new sit</w:t>
      </w:r>
      <w:r w:rsidR="009B7484">
        <w:rPr>
          <w:sz w:val="22"/>
          <w:szCs w:val="22"/>
        </w:rPr>
        <w:t>uation</w:t>
      </w:r>
      <w:r w:rsidR="00C321F1">
        <w:rPr>
          <w:sz w:val="22"/>
          <w:szCs w:val="22"/>
        </w:rPr>
        <w:t xml:space="preserve">. </w:t>
      </w:r>
    </w:p>
    <w:p w:rsidR="002E1AEE" w:rsidRPr="006B3D8E" w:rsidRDefault="002E1AEE" w:rsidP="00C321F1">
      <w:pPr>
        <w:spacing w:line="480" w:lineRule="auto"/>
        <w:ind w:firstLine="720"/>
        <w:rPr>
          <w:sz w:val="22"/>
          <w:szCs w:val="22"/>
        </w:rPr>
      </w:pPr>
    </w:p>
    <w:p w:rsidR="009B4F66" w:rsidRDefault="009B4F66" w:rsidP="00837774">
      <w:pPr>
        <w:spacing w:line="480" w:lineRule="auto"/>
        <w:ind w:firstLine="720"/>
        <w:rPr>
          <w:sz w:val="22"/>
          <w:szCs w:val="22"/>
        </w:rPr>
      </w:pPr>
      <w:r>
        <w:rPr>
          <w:sz w:val="22"/>
          <w:szCs w:val="22"/>
        </w:rPr>
        <w:t>A</w:t>
      </w:r>
      <w:r w:rsidR="009D02D0" w:rsidRPr="006B3D8E">
        <w:rPr>
          <w:sz w:val="22"/>
          <w:szCs w:val="22"/>
        </w:rPr>
        <w:t xml:space="preserve"> second</w:t>
      </w:r>
      <w:r w:rsidR="005C6327" w:rsidRPr="006B3D8E">
        <w:rPr>
          <w:sz w:val="22"/>
          <w:szCs w:val="22"/>
        </w:rPr>
        <w:t xml:space="preserve"> typical move</w:t>
      </w:r>
      <w:r w:rsidR="00837774" w:rsidRPr="006B3D8E">
        <w:rPr>
          <w:sz w:val="22"/>
          <w:szCs w:val="22"/>
        </w:rPr>
        <w:t xml:space="preserve"> of </w:t>
      </w:r>
      <w:r w:rsidR="009A4EFE" w:rsidRPr="006B3D8E">
        <w:rPr>
          <w:sz w:val="22"/>
          <w:szCs w:val="22"/>
        </w:rPr>
        <w:t xml:space="preserve">historical </w:t>
      </w:r>
      <w:r w:rsidR="00CA4831">
        <w:rPr>
          <w:sz w:val="22"/>
          <w:szCs w:val="22"/>
        </w:rPr>
        <w:t xml:space="preserve">institutional theories of change </w:t>
      </w:r>
      <w:r w:rsidR="00837774" w:rsidRPr="006B3D8E">
        <w:rPr>
          <w:sz w:val="22"/>
          <w:szCs w:val="22"/>
        </w:rPr>
        <w:t>is to invok</w:t>
      </w:r>
      <w:r w:rsidR="00DB4EF0" w:rsidRPr="006B3D8E">
        <w:rPr>
          <w:sz w:val="22"/>
          <w:szCs w:val="22"/>
        </w:rPr>
        <w:t xml:space="preserve">e </w:t>
      </w:r>
      <w:r w:rsidR="005C6327" w:rsidRPr="006B3D8E">
        <w:rPr>
          <w:sz w:val="22"/>
          <w:szCs w:val="22"/>
        </w:rPr>
        <w:t xml:space="preserve">a </w:t>
      </w:r>
      <w:proofErr w:type="spellStart"/>
      <w:r w:rsidR="00CA4831">
        <w:rPr>
          <w:sz w:val="22"/>
          <w:szCs w:val="22"/>
        </w:rPr>
        <w:t>transhistorical</w:t>
      </w:r>
      <w:proofErr w:type="spellEnd"/>
      <w:r w:rsidR="00CA4831">
        <w:rPr>
          <w:sz w:val="22"/>
          <w:szCs w:val="22"/>
        </w:rPr>
        <w:t xml:space="preserve"> </w:t>
      </w:r>
      <w:r w:rsidR="005C6327" w:rsidRPr="006B3D8E">
        <w:rPr>
          <w:sz w:val="22"/>
          <w:szCs w:val="22"/>
        </w:rPr>
        <w:t>meta</w:t>
      </w:r>
      <w:r w:rsidR="00D35A30" w:rsidRPr="006B3D8E">
        <w:rPr>
          <w:sz w:val="22"/>
          <w:szCs w:val="22"/>
        </w:rPr>
        <w:t>-</w:t>
      </w:r>
      <w:r w:rsidR="005C6327" w:rsidRPr="006B3D8E">
        <w:rPr>
          <w:sz w:val="22"/>
          <w:szCs w:val="22"/>
        </w:rPr>
        <w:t>rule</w:t>
      </w:r>
      <w:r w:rsidR="00D35A30" w:rsidRPr="006B3D8E">
        <w:rPr>
          <w:sz w:val="22"/>
          <w:szCs w:val="22"/>
        </w:rPr>
        <w:t xml:space="preserve"> to account for </w:t>
      </w:r>
      <w:r w:rsidR="009573FD">
        <w:rPr>
          <w:sz w:val="22"/>
          <w:szCs w:val="22"/>
        </w:rPr>
        <w:t xml:space="preserve">large-scale </w:t>
      </w:r>
      <w:r w:rsidR="00D35A30" w:rsidRPr="006B3D8E">
        <w:rPr>
          <w:sz w:val="22"/>
          <w:szCs w:val="22"/>
        </w:rPr>
        <w:t>development</w:t>
      </w:r>
      <w:r w:rsidR="00B47EA0">
        <w:rPr>
          <w:sz w:val="22"/>
          <w:szCs w:val="22"/>
        </w:rPr>
        <w:t>s</w:t>
      </w:r>
      <w:r w:rsidR="00D35A30" w:rsidRPr="006B3D8E">
        <w:rPr>
          <w:sz w:val="22"/>
          <w:szCs w:val="22"/>
        </w:rPr>
        <w:t xml:space="preserve"> and change</w:t>
      </w:r>
      <w:r w:rsidR="00B47EA0">
        <w:rPr>
          <w:sz w:val="22"/>
          <w:szCs w:val="22"/>
        </w:rPr>
        <w:t>:  r</w:t>
      </w:r>
      <w:r w:rsidR="00CA4831">
        <w:rPr>
          <w:sz w:val="22"/>
          <w:szCs w:val="22"/>
        </w:rPr>
        <w:t>ule</w:t>
      </w:r>
      <w:r w:rsidR="00021276">
        <w:rPr>
          <w:sz w:val="22"/>
          <w:szCs w:val="22"/>
        </w:rPr>
        <w:t xml:space="preserve">s like </w:t>
      </w:r>
      <w:r w:rsidR="00470914">
        <w:rPr>
          <w:sz w:val="22"/>
          <w:szCs w:val="22"/>
        </w:rPr>
        <w:lastRenderedPageBreak/>
        <w:t>weak state</w:t>
      </w:r>
      <w:r w:rsidR="00021276">
        <w:rPr>
          <w:sz w:val="22"/>
          <w:szCs w:val="22"/>
        </w:rPr>
        <w:t xml:space="preserve">, federalism, the separation of powers, and liberal culture.  </w:t>
      </w:r>
      <w:r w:rsidR="009A4EFE" w:rsidRPr="00B47EA0">
        <w:rPr>
          <w:i/>
          <w:sz w:val="22"/>
          <w:szCs w:val="22"/>
        </w:rPr>
        <w:t xml:space="preserve">Instead of </w:t>
      </w:r>
      <w:r w:rsidR="009A4EFE" w:rsidRPr="009B4F66">
        <w:rPr>
          <w:sz w:val="22"/>
          <w:szCs w:val="22"/>
        </w:rPr>
        <w:t>meta</w:t>
      </w:r>
      <w:r w:rsidR="009A4EFE" w:rsidRPr="00B47EA0">
        <w:rPr>
          <w:i/>
          <w:sz w:val="22"/>
          <w:szCs w:val="22"/>
        </w:rPr>
        <w:t>-rules</w:t>
      </w:r>
      <w:r w:rsidR="002E1AEE">
        <w:rPr>
          <w:sz w:val="22"/>
          <w:szCs w:val="22"/>
        </w:rPr>
        <w:t xml:space="preserve">, pragmatists propose </w:t>
      </w:r>
      <w:r w:rsidR="009A4EFE" w:rsidRPr="006B3D8E">
        <w:rPr>
          <w:sz w:val="22"/>
          <w:szCs w:val="22"/>
        </w:rPr>
        <w:t>meta-</w:t>
      </w:r>
      <w:r w:rsidR="009A4EFE" w:rsidRPr="009B4F66">
        <w:rPr>
          <w:i/>
          <w:sz w:val="22"/>
          <w:szCs w:val="22"/>
        </w:rPr>
        <w:t>concepts</w:t>
      </w:r>
      <w:r w:rsidR="009A4EFE" w:rsidRPr="006B3D8E">
        <w:rPr>
          <w:sz w:val="22"/>
          <w:szCs w:val="22"/>
        </w:rPr>
        <w:t xml:space="preserve"> </w:t>
      </w:r>
      <w:r w:rsidR="00B63A22">
        <w:rPr>
          <w:sz w:val="22"/>
          <w:szCs w:val="22"/>
        </w:rPr>
        <w:t xml:space="preserve">that </w:t>
      </w:r>
      <w:r w:rsidR="00B47EA0">
        <w:rPr>
          <w:sz w:val="22"/>
          <w:szCs w:val="22"/>
        </w:rPr>
        <w:t>operate to</w:t>
      </w:r>
      <w:r w:rsidR="00021276">
        <w:rPr>
          <w:sz w:val="22"/>
          <w:szCs w:val="22"/>
        </w:rPr>
        <w:t xml:space="preserve"> galvanize</w:t>
      </w:r>
      <w:r w:rsidR="009A4EFE" w:rsidRPr="006B3D8E">
        <w:rPr>
          <w:sz w:val="22"/>
          <w:szCs w:val="22"/>
        </w:rPr>
        <w:t xml:space="preserve"> action</w:t>
      </w:r>
      <w:r w:rsidR="00B47EA0">
        <w:rPr>
          <w:sz w:val="22"/>
          <w:szCs w:val="22"/>
        </w:rPr>
        <w:t xml:space="preserve"> across organizations</w:t>
      </w:r>
      <w:r w:rsidR="009A4EFE" w:rsidRPr="006B3D8E">
        <w:rPr>
          <w:sz w:val="22"/>
          <w:szCs w:val="22"/>
        </w:rPr>
        <w:t xml:space="preserve">. </w:t>
      </w:r>
      <w:r w:rsidR="00060867">
        <w:rPr>
          <w:sz w:val="22"/>
          <w:szCs w:val="22"/>
        </w:rPr>
        <w:t xml:space="preserve"> </w:t>
      </w:r>
      <w:r w:rsidR="00B63A22">
        <w:rPr>
          <w:sz w:val="22"/>
          <w:szCs w:val="22"/>
        </w:rPr>
        <w:t xml:space="preserve">Meta-concepts are a feature of a process of institutional </w:t>
      </w:r>
      <w:r w:rsidR="00D1497F">
        <w:rPr>
          <w:sz w:val="22"/>
          <w:szCs w:val="22"/>
        </w:rPr>
        <w:t xml:space="preserve">evolution </w:t>
      </w:r>
      <w:r w:rsidR="00D672B9">
        <w:rPr>
          <w:sz w:val="22"/>
          <w:szCs w:val="22"/>
        </w:rPr>
        <w:t>in which a conception of a governing project is proposed and projected that its proponents hope will become</w:t>
      </w:r>
      <w:r w:rsidR="00B63A22">
        <w:rPr>
          <w:sz w:val="22"/>
          <w:szCs w:val="22"/>
        </w:rPr>
        <w:t xml:space="preserve"> </w:t>
      </w:r>
      <w:r w:rsidR="00D672B9">
        <w:rPr>
          <w:sz w:val="22"/>
          <w:szCs w:val="22"/>
        </w:rPr>
        <w:t>grounded</w:t>
      </w:r>
      <w:r w:rsidR="00D1497F">
        <w:rPr>
          <w:sz w:val="22"/>
          <w:szCs w:val="22"/>
        </w:rPr>
        <w:t xml:space="preserve"> in </w:t>
      </w:r>
      <w:r w:rsidR="00B63A22">
        <w:rPr>
          <w:sz w:val="22"/>
          <w:szCs w:val="22"/>
        </w:rPr>
        <w:t xml:space="preserve">specific applications in actual problem-solving. </w:t>
      </w:r>
      <w:r w:rsidR="00B63A22">
        <w:rPr>
          <w:rStyle w:val="EndnoteReference"/>
          <w:sz w:val="22"/>
          <w:szCs w:val="22"/>
        </w:rPr>
        <w:endnoteReference w:id="8"/>
      </w:r>
      <w:r w:rsidR="00D1497F">
        <w:rPr>
          <w:sz w:val="22"/>
          <w:szCs w:val="22"/>
        </w:rPr>
        <w:t xml:space="preserve">  </w:t>
      </w:r>
    </w:p>
    <w:p w:rsidR="007E586B" w:rsidRDefault="00D672B9" w:rsidP="00B953D5">
      <w:pPr>
        <w:spacing w:line="480" w:lineRule="auto"/>
        <w:ind w:firstLine="720"/>
        <w:rPr>
          <w:sz w:val="22"/>
          <w:szCs w:val="22"/>
        </w:rPr>
      </w:pPr>
      <w:r>
        <w:rPr>
          <w:sz w:val="22"/>
          <w:szCs w:val="22"/>
        </w:rPr>
        <w:t xml:space="preserve">An example of the way that </w:t>
      </w:r>
      <w:r w:rsidR="009B4F66">
        <w:rPr>
          <w:sz w:val="22"/>
          <w:szCs w:val="22"/>
        </w:rPr>
        <w:t xml:space="preserve">historical institutional </w:t>
      </w:r>
      <w:r>
        <w:rPr>
          <w:sz w:val="22"/>
          <w:szCs w:val="22"/>
        </w:rPr>
        <w:t xml:space="preserve">meta </w:t>
      </w:r>
      <w:r w:rsidRPr="00D672B9">
        <w:rPr>
          <w:b/>
          <w:i/>
          <w:sz w:val="22"/>
          <w:szCs w:val="22"/>
        </w:rPr>
        <w:t>rule</w:t>
      </w:r>
      <w:r>
        <w:rPr>
          <w:sz w:val="22"/>
          <w:szCs w:val="22"/>
        </w:rPr>
        <w:t xml:space="preserve">s are used, consider </w:t>
      </w:r>
      <w:r w:rsidRPr="006B3D8E">
        <w:rPr>
          <w:sz w:val="22"/>
          <w:szCs w:val="22"/>
        </w:rPr>
        <w:t>a recent article</w:t>
      </w:r>
      <w:r>
        <w:rPr>
          <w:sz w:val="22"/>
          <w:szCs w:val="22"/>
        </w:rPr>
        <w:t xml:space="preserve"> that</w:t>
      </w:r>
      <w:r w:rsidRPr="006B3D8E">
        <w:rPr>
          <w:sz w:val="22"/>
          <w:szCs w:val="22"/>
        </w:rPr>
        <w:t xml:space="preserve"> invokes “national capac</w:t>
      </w:r>
      <w:r w:rsidR="009B4F66">
        <w:rPr>
          <w:sz w:val="22"/>
          <w:szCs w:val="22"/>
        </w:rPr>
        <w:t xml:space="preserve">ity building” </w:t>
      </w:r>
      <w:r w:rsidRPr="006B3D8E">
        <w:rPr>
          <w:sz w:val="22"/>
          <w:szCs w:val="22"/>
        </w:rPr>
        <w:t xml:space="preserve">as a rule of state development </w:t>
      </w:r>
      <w:r>
        <w:rPr>
          <w:sz w:val="22"/>
          <w:szCs w:val="22"/>
        </w:rPr>
        <w:t xml:space="preserve">in order </w:t>
      </w:r>
      <w:r w:rsidRPr="006B3D8E">
        <w:rPr>
          <w:sz w:val="22"/>
          <w:szCs w:val="22"/>
        </w:rPr>
        <w:t xml:space="preserve">to evaluate explanations for patterns of antebellum railroad building by American state governments. </w:t>
      </w:r>
      <w:r w:rsidR="0065186C" w:rsidRPr="006B3D8E">
        <w:rPr>
          <w:rStyle w:val="EndnoteReference"/>
          <w:sz w:val="22"/>
          <w:szCs w:val="22"/>
        </w:rPr>
        <w:endnoteReference w:id="9"/>
      </w:r>
      <w:r w:rsidR="0065186C" w:rsidRPr="006B3D8E">
        <w:rPr>
          <w:sz w:val="22"/>
          <w:szCs w:val="22"/>
        </w:rPr>
        <w:t xml:space="preserve"> </w:t>
      </w:r>
      <w:r w:rsidRPr="006B3D8E">
        <w:rPr>
          <w:sz w:val="22"/>
          <w:szCs w:val="22"/>
        </w:rPr>
        <w:t xml:space="preserve"> The failure to coordinate nationwide railroad building – as evidenced by the absence of a national system – is presented as proof </w:t>
      </w:r>
      <w:r>
        <w:rPr>
          <w:sz w:val="22"/>
          <w:szCs w:val="22"/>
        </w:rPr>
        <w:t>of a weak state. A strong state by definition embodies autonomy from</w:t>
      </w:r>
      <w:r w:rsidRPr="006B3D8E">
        <w:rPr>
          <w:sz w:val="22"/>
          <w:szCs w:val="22"/>
        </w:rPr>
        <w:t xml:space="preserve"> local economic and political conditions </w:t>
      </w:r>
      <w:r>
        <w:rPr>
          <w:sz w:val="22"/>
          <w:szCs w:val="22"/>
        </w:rPr>
        <w:t xml:space="preserve">and a </w:t>
      </w:r>
      <w:r w:rsidR="009B4F66">
        <w:rPr>
          <w:sz w:val="22"/>
          <w:szCs w:val="22"/>
        </w:rPr>
        <w:t>process of social learning that leads to satisfaction of</w:t>
      </w:r>
      <w:r>
        <w:rPr>
          <w:sz w:val="22"/>
          <w:szCs w:val="22"/>
        </w:rPr>
        <w:t xml:space="preserve"> national needs. </w:t>
      </w:r>
      <w:r w:rsidR="001B2674">
        <w:rPr>
          <w:sz w:val="22"/>
          <w:szCs w:val="22"/>
        </w:rPr>
        <w:t xml:space="preserve"> A weak state is characterized by pa</w:t>
      </w:r>
      <w:r w:rsidR="009B4F66">
        <w:rPr>
          <w:sz w:val="22"/>
          <w:szCs w:val="22"/>
        </w:rPr>
        <w:t>rallel thinking, not coordination</w:t>
      </w:r>
      <w:r w:rsidR="001B2674">
        <w:rPr>
          <w:sz w:val="22"/>
          <w:szCs w:val="22"/>
        </w:rPr>
        <w:t xml:space="preserve">. </w:t>
      </w:r>
      <w:r w:rsidR="009B4F66">
        <w:rPr>
          <w:sz w:val="22"/>
          <w:szCs w:val="22"/>
        </w:rPr>
        <w:t xml:space="preserve"> In this case, t</w:t>
      </w:r>
      <w:r w:rsidR="0065186C">
        <w:rPr>
          <w:sz w:val="22"/>
          <w:szCs w:val="22"/>
        </w:rPr>
        <w:t xml:space="preserve">he rule tells us all we need to know </w:t>
      </w:r>
      <w:r w:rsidR="001B2674">
        <w:rPr>
          <w:sz w:val="22"/>
          <w:szCs w:val="22"/>
        </w:rPr>
        <w:t xml:space="preserve">about action alternatives </w:t>
      </w:r>
      <w:r w:rsidR="0065186C" w:rsidRPr="006B3D8E">
        <w:rPr>
          <w:sz w:val="22"/>
          <w:szCs w:val="22"/>
        </w:rPr>
        <w:t>before any investigation is made of why railroads were built th</w:t>
      </w:r>
      <w:r w:rsidR="0065186C">
        <w:rPr>
          <w:sz w:val="22"/>
          <w:szCs w:val="22"/>
        </w:rPr>
        <w:t xml:space="preserve">e </w:t>
      </w:r>
      <w:r w:rsidR="001B2674">
        <w:rPr>
          <w:sz w:val="22"/>
          <w:szCs w:val="22"/>
        </w:rPr>
        <w:t xml:space="preserve">way they were where they were. </w:t>
      </w:r>
      <w:r w:rsidR="00D1584E">
        <w:rPr>
          <w:sz w:val="22"/>
          <w:szCs w:val="22"/>
        </w:rPr>
        <w:t xml:space="preserve"> </w:t>
      </w:r>
      <w:r w:rsidR="009B4F66">
        <w:rPr>
          <w:sz w:val="22"/>
          <w:szCs w:val="22"/>
        </w:rPr>
        <w:t xml:space="preserve">Did anyone propose a national system or organize a state-building project?  In contrast, in studies by Stephen </w:t>
      </w:r>
      <w:proofErr w:type="spellStart"/>
      <w:r w:rsidR="009B4F66">
        <w:rPr>
          <w:sz w:val="22"/>
          <w:szCs w:val="22"/>
        </w:rPr>
        <w:t>Skowronek</w:t>
      </w:r>
      <w:proofErr w:type="spellEnd"/>
      <w:r w:rsidR="009B4F66">
        <w:rPr>
          <w:sz w:val="22"/>
          <w:szCs w:val="22"/>
        </w:rPr>
        <w:t xml:space="preserve"> [Building a New American State] and Gerald Berk [Alternative Tracks],</w:t>
      </w:r>
      <w:r w:rsidR="00D1584E">
        <w:rPr>
          <w:sz w:val="22"/>
          <w:szCs w:val="22"/>
        </w:rPr>
        <w:t xml:space="preserve"> e</w:t>
      </w:r>
      <w:r w:rsidR="00B953D5">
        <w:rPr>
          <w:sz w:val="22"/>
          <w:szCs w:val="22"/>
        </w:rPr>
        <w:t>ach in distinctive ways, specific</w:t>
      </w:r>
      <w:r w:rsidR="00D1584E">
        <w:rPr>
          <w:sz w:val="22"/>
          <w:szCs w:val="22"/>
        </w:rPr>
        <w:t xml:space="preserve"> actual projects of state buildi</w:t>
      </w:r>
      <w:r w:rsidR="00B953D5">
        <w:rPr>
          <w:sz w:val="22"/>
          <w:szCs w:val="22"/>
        </w:rPr>
        <w:t>ng and railroad building are</w:t>
      </w:r>
      <w:r w:rsidR="00D1584E">
        <w:rPr>
          <w:sz w:val="22"/>
          <w:szCs w:val="22"/>
        </w:rPr>
        <w:t xml:space="preserve"> concretely linked to </w:t>
      </w:r>
      <w:r w:rsidR="00E560FC">
        <w:rPr>
          <w:sz w:val="22"/>
          <w:szCs w:val="22"/>
        </w:rPr>
        <w:t xml:space="preserve">the situations of </w:t>
      </w:r>
      <w:r w:rsidR="00D1584E">
        <w:rPr>
          <w:sz w:val="22"/>
          <w:szCs w:val="22"/>
        </w:rPr>
        <w:t>particular people</w:t>
      </w:r>
      <w:r w:rsidR="00E560FC">
        <w:rPr>
          <w:sz w:val="22"/>
          <w:szCs w:val="22"/>
        </w:rPr>
        <w:t xml:space="preserve"> and </w:t>
      </w:r>
      <w:r w:rsidR="00B953D5">
        <w:rPr>
          <w:sz w:val="22"/>
          <w:szCs w:val="22"/>
        </w:rPr>
        <w:t>associations.</w:t>
      </w:r>
    </w:p>
    <w:p w:rsidR="00B953D5" w:rsidRDefault="00B953D5" w:rsidP="00B953D5">
      <w:pPr>
        <w:spacing w:line="480" w:lineRule="auto"/>
        <w:ind w:firstLine="720"/>
        <w:rPr>
          <w:sz w:val="22"/>
          <w:szCs w:val="22"/>
        </w:rPr>
      </w:pPr>
      <w:r>
        <w:rPr>
          <w:sz w:val="22"/>
          <w:szCs w:val="22"/>
        </w:rPr>
        <w:t xml:space="preserve">A move of some </w:t>
      </w:r>
      <w:r w:rsidR="00EC408B">
        <w:rPr>
          <w:sz w:val="22"/>
          <w:szCs w:val="22"/>
        </w:rPr>
        <w:t xml:space="preserve">new institutional theories of incremental change </w:t>
      </w:r>
      <w:r>
        <w:rPr>
          <w:sz w:val="22"/>
          <w:szCs w:val="22"/>
        </w:rPr>
        <w:t xml:space="preserve">to soften </w:t>
      </w:r>
      <w:proofErr w:type="gramStart"/>
      <w:r>
        <w:rPr>
          <w:sz w:val="22"/>
          <w:szCs w:val="22"/>
        </w:rPr>
        <w:t>meta</w:t>
      </w:r>
      <w:proofErr w:type="gramEnd"/>
      <w:r>
        <w:rPr>
          <w:sz w:val="22"/>
          <w:szCs w:val="22"/>
        </w:rPr>
        <w:t xml:space="preserve"> rules </w:t>
      </w:r>
      <w:r w:rsidR="00EC408B">
        <w:rPr>
          <w:sz w:val="22"/>
          <w:szCs w:val="22"/>
        </w:rPr>
        <w:t xml:space="preserve">is </w:t>
      </w:r>
      <w:r>
        <w:rPr>
          <w:sz w:val="22"/>
          <w:szCs w:val="22"/>
        </w:rPr>
        <w:t xml:space="preserve">to introduce </w:t>
      </w:r>
      <w:proofErr w:type="spellStart"/>
      <w:r>
        <w:rPr>
          <w:sz w:val="22"/>
          <w:szCs w:val="22"/>
        </w:rPr>
        <w:t>interactionism</w:t>
      </w:r>
      <w:proofErr w:type="spellEnd"/>
      <w:r>
        <w:rPr>
          <w:sz w:val="22"/>
          <w:szCs w:val="22"/>
        </w:rPr>
        <w:t>.  A</w:t>
      </w:r>
      <w:r w:rsidR="00EC408B">
        <w:rPr>
          <w:sz w:val="22"/>
          <w:szCs w:val="22"/>
        </w:rPr>
        <w:t xml:space="preserve"> </w:t>
      </w:r>
      <w:proofErr w:type="gramStart"/>
      <w:r w:rsidR="00EC408B">
        <w:rPr>
          <w:sz w:val="22"/>
          <w:szCs w:val="22"/>
        </w:rPr>
        <w:t>meta</w:t>
      </w:r>
      <w:proofErr w:type="gramEnd"/>
      <w:r w:rsidR="00EC408B">
        <w:rPr>
          <w:sz w:val="22"/>
          <w:szCs w:val="22"/>
        </w:rPr>
        <w:t xml:space="preserve"> rule is proposed and then the authors say that its instantiation in any case depends on the interaction of the rule and the local context.   </w:t>
      </w:r>
      <w:r>
        <w:rPr>
          <w:sz w:val="22"/>
          <w:szCs w:val="22"/>
        </w:rPr>
        <w:t xml:space="preserve">Desmond King and Marc </w:t>
      </w:r>
      <w:proofErr w:type="spellStart"/>
      <w:r>
        <w:rPr>
          <w:sz w:val="22"/>
          <w:szCs w:val="22"/>
        </w:rPr>
        <w:t>Stears</w:t>
      </w:r>
      <w:proofErr w:type="spellEnd"/>
      <w:r>
        <w:rPr>
          <w:sz w:val="22"/>
          <w:szCs w:val="22"/>
        </w:rPr>
        <w:t xml:space="preserve"> use this formulation in their</w:t>
      </w:r>
      <w:r w:rsidR="00924142">
        <w:rPr>
          <w:sz w:val="22"/>
          <w:szCs w:val="22"/>
        </w:rPr>
        <w:t xml:space="preserve"> theory of st</w:t>
      </w:r>
      <w:r>
        <w:rPr>
          <w:sz w:val="22"/>
          <w:szCs w:val="22"/>
        </w:rPr>
        <w:t>andardization</w:t>
      </w:r>
      <w:r w:rsidR="009B7484" w:rsidRPr="006B3D8E">
        <w:rPr>
          <w:sz w:val="22"/>
          <w:szCs w:val="22"/>
        </w:rPr>
        <w:t>.</w:t>
      </w:r>
      <w:r w:rsidR="009B7484" w:rsidRPr="006B3D8E">
        <w:rPr>
          <w:rStyle w:val="EndnoteReference"/>
          <w:sz w:val="22"/>
          <w:szCs w:val="22"/>
        </w:rPr>
        <w:endnoteReference w:id="10"/>
      </w:r>
      <w:r w:rsidR="009B7484">
        <w:rPr>
          <w:sz w:val="22"/>
          <w:szCs w:val="22"/>
        </w:rPr>
        <w:t xml:space="preserve"> </w:t>
      </w:r>
      <w:r>
        <w:rPr>
          <w:sz w:val="22"/>
          <w:szCs w:val="22"/>
        </w:rPr>
        <w:t xml:space="preserve"> To organize, count, categorize roles and</w:t>
      </w:r>
      <w:r w:rsidR="009B7484" w:rsidRPr="006B3D8E">
        <w:rPr>
          <w:sz w:val="22"/>
          <w:szCs w:val="22"/>
        </w:rPr>
        <w:t xml:space="preserve"> relationships, and implement rules </w:t>
      </w:r>
      <w:r>
        <w:rPr>
          <w:sz w:val="22"/>
          <w:szCs w:val="22"/>
        </w:rPr>
        <w:t>to stabilize</w:t>
      </w:r>
      <w:r w:rsidR="009B7484" w:rsidRPr="006B3D8E">
        <w:rPr>
          <w:sz w:val="22"/>
          <w:szCs w:val="22"/>
        </w:rPr>
        <w:t xml:space="preserve"> behavior are </w:t>
      </w:r>
      <w:r w:rsidR="009B7484">
        <w:rPr>
          <w:sz w:val="22"/>
          <w:szCs w:val="22"/>
        </w:rPr>
        <w:t xml:space="preserve">common </w:t>
      </w:r>
      <w:r w:rsidR="009B7484" w:rsidRPr="006B3D8E">
        <w:rPr>
          <w:sz w:val="22"/>
          <w:szCs w:val="22"/>
        </w:rPr>
        <w:t>techniques of government</w:t>
      </w:r>
      <w:r w:rsidR="009B7484">
        <w:rPr>
          <w:sz w:val="22"/>
          <w:szCs w:val="22"/>
        </w:rPr>
        <w:t>.</w:t>
      </w:r>
      <w:r w:rsidR="009B7484" w:rsidRPr="006B3D8E">
        <w:rPr>
          <w:sz w:val="22"/>
          <w:szCs w:val="22"/>
        </w:rPr>
        <w:t xml:space="preserve">  These </w:t>
      </w:r>
      <w:r>
        <w:rPr>
          <w:sz w:val="22"/>
          <w:szCs w:val="22"/>
        </w:rPr>
        <w:t xml:space="preserve">standardization techniques </w:t>
      </w:r>
      <w:r w:rsidR="009B7484" w:rsidRPr="006B3D8E">
        <w:rPr>
          <w:sz w:val="22"/>
          <w:szCs w:val="22"/>
        </w:rPr>
        <w:t xml:space="preserve">help us </w:t>
      </w:r>
      <w:r w:rsidR="009B7484" w:rsidRPr="006B3D8E">
        <w:rPr>
          <w:sz w:val="22"/>
          <w:szCs w:val="22"/>
        </w:rPr>
        <w:lastRenderedPageBreak/>
        <w:t xml:space="preserve">to govern ourselves. </w:t>
      </w:r>
      <w:r w:rsidR="009B7484">
        <w:rPr>
          <w:sz w:val="22"/>
          <w:szCs w:val="22"/>
        </w:rPr>
        <w:t xml:space="preserve"> </w:t>
      </w:r>
      <w:r w:rsidR="009B7484" w:rsidRPr="006B3D8E">
        <w:rPr>
          <w:sz w:val="22"/>
          <w:szCs w:val="22"/>
        </w:rPr>
        <w:t xml:space="preserve">But from a pragmatist perspective their analysis won’t get us to self-government </w:t>
      </w:r>
      <w:r>
        <w:rPr>
          <w:sz w:val="22"/>
          <w:szCs w:val="22"/>
        </w:rPr>
        <w:t>because there’s no theory of action</w:t>
      </w:r>
      <w:r w:rsidR="009B7484" w:rsidRPr="006B3D8E">
        <w:rPr>
          <w:sz w:val="22"/>
          <w:szCs w:val="22"/>
        </w:rPr>
        <w:t>.</w:t>
      </w:r>
      <w:r>
        <w:rPr>
          <w:sz w:val="22"/>
          <w:szCs w:val="22"/>
        </w:rPr>
        <w:t xml:space="preserve"> </w:t>
      </w:r>
      <w:r w:rsidR="009B7484" w:rsidRPr="006B3D8E">
        <w:rPr>
          <w:sz w:val="22"/>
          <w:szCs w:val="22"/>
        </w:rPr>
        <w:t xml:space="preserve"> </w:t>
      </w:r>
      <w:r w:rsidR="009B7484">
        <w:rPr>
          <w:sz w:val="22"/>
          <w:szCs w:val="22"/>
        </w:rPr>
        <w:t>They</w:t>
      </w:r>
      <w:r w:rsidR="009B7484" w:rsidRPr="006B3D8E">
        <w:rPr>
          <w:sz w:val="22"/>
          <w:szCs w:val="22"/>
        </w:rPr>
        <w:t xml:space="preserve"> identi</w:t>
      </w:r>
      <w:r w:rsidR="009B7484">
        <w:rPr>
          <w:sz w:val="22"/>
          <w:szCs w:val="22"/>
        </w:rPr>
        <w:t>fy three standardization processes</w:t>
      </w:r>
      <w:r w:rsidR="009B7484" w:rsidRPr="006B3D8E">
        <w:rPr>
          <w:sz w:val="22"/>
          <w:szCs w:val="22"/>
        </w:rPr>
        <w:t xml:space="preserve"> in the U.S.</w:t>
      </w:r>
      <w:r w:rsidR="009B7484">
        <w:rPr>
          <w:sz w:val="22"/>
          <w:szCs w:val="22"/>
        </w:rPr>
        <w:t xml:space="preserve">: </w:t>
      </w:r>
      <w:r w:rsidR="009B7484" w:rsidRPr="006B3D8E">
        <w:rPr>
          <w:sz w:val="22"/>
          <w:szCs w:val="22"/>
        </w:rPr>
        <w:t xml:space="preserve"> the need for “law and order” over a territory, a need for a stable legal framework of ca</w:t>
      </w:r>
      <w:r>
        <w:rPr>
          <w:sz w:val="22"/>
          <w:szCs w:val="22"/>
        </w:rPr>
        <w:t xml:space="preserve">pitalist markets – much like Weber’s vision – </w:t>
      </w:r>
      <w:r w:rsidR="009B7484">
        <w:rPr>
          <w:sz w:val="22"/>
          <w:szCs w:val="22"/>
        </w:rPr>
        <w:t xml:space="preserve">and </w:t>
      </w:r>
      <w:r w:rsidR="009B7484" w:rsidRPr="006B3D8E">
        <w:rPr>
          <w:sz w:val="22"/>
          <w:szCs w:val="22"/>
        </w:rPr>
        <w:t xml:space="preserve">“ideological” impulses for a certain kind </w:t>
      </w:r>
      <w:r w:rsidR="009B7484">
        <w:rPr>
          <w:sz w:val="22"/>
          <w:szCs w:val="22"/>
        </w:rPr>
        <w:t>of standard American character</w:t>
      </w:r>
      <w:r>
        <w:rPr>
          <w:sz w:val="22"/>
          <w:szCs w:val="22"/>
        </w:rPr>
        <w:t>, an element that makes the U.S. peculiar among states</w:t>
      </w:r>
      <w:r w:rsidR="009B7484">
        <w:rPr>
          <w:sz w:val="22"/>
          <w:szCs w:val="22"/>
        </w:rPr>
        <w:t xml:space="preserve">.  </w:t>
      </w:r>
    </w:p>
    <w:p w:rsidR="00B953D5" w:rsidRDefault="009B7484" w:rsidP="00B953D5">
      <w:pPr>
        <w:spacing w:line="480" w:lineRule="auto"/>
        <w:ind w:firstLine="720"/>
        <w:rPr>
          <w:sz w:val="22"/>
          <w:szCs w:val="22"/>
        </w:rPr>
      </w:pPr>
      <w:r>
        <w:rPr>
          <w:sz w:val="22"/>
          <w:szCs w:val="22"/>
        </w:rPr>
        <w:t>They urge us to give</w:t>
      </w:r>
      <w:r w:rsidRPr="006B3D8E">
        <w:rPr>
          <w:sz w:val="22"/>
          <w:szCs w:val="22"/>
        </w:rPr>
        <w:t xml:space="preserve"> “detailed attention” to the sites </w:t>
      </w:r>
      <w:r>
        <w:rPr>
          <w:sz w:val="22"/>
          <w:szCs w:val="22"/>
        </w:rPr>
        <w:t xml:space="preserve">of standardization </w:t>
      </w:r>
      <w:r w:rsidRPr="006B3D8E">
        <w:rPr>
          <w:sz w:val="22"/>
          <w:szCs w:val="22"/>
        </w:rPr>
        <w:t xml:space="preserve">(514), but </w:t>
      </w:r>
      <w:r>
        <w:rPr>
          <w:sz w:val="22"/>
          <w:szCs w:val="22"/>
        </w:rPr>
        <w:t>the meta rules</w:t>
      </w:r>
      <w:r w:rsidR="00B953D5">
        <w:rPr>
          <w:sz w:val="22"/>
          <w:szCs w:val="22"/>
        </w:rPr>
        <w:t xml:space="preserve"> either </w:t>
      </w:r>
      <w:r w:rsidRPr="006B3D8E">
        <w:rPr>
          <w:sz w:val="22"/>
          <w:szCs w:val="22"/>
        </w:rPr>
        <w:t>overwhelm whatever the actors do</w:t>
      </w:r>
      <w:r w:rsidR="00B953D5">
        <w:rPr>
          <w:sz w:val="22"/>
          <w:szCs w:val="22"/>
        </w:rPr>
        <w:t xml:space="preserve"> or under theorize it:  actors</w:t>
      </w:r>
      <w:r w:rsidRPr="006B3D8E">
        <w:rPr>
          <w:sz w:val="22"/>
          <w:szCs w:val="22"/>
        </w:rPr>
        <w:t xml:space="preserve"> are</w:t>
      </w:r>
      <w:r w:rsidR="00B953D5">
        <w:rPr>
          <w:sz w:val="22"/>
          <w:szCs w:val="22"/>
        </w:rPr>
        <w:t xml:space="preserve"> </w:t>
      </w:r>
      <w:r w:rsidRPr="006B3D8E">
        <w:rPr>
          <w:sz w:val="22"/>
          <w:szCs w:val="22"/>
        </w:rPr>
        <w:t>pre-defined as either pro- or anti-standardization</w:t>
      </w:r>
      <w:r w:rsidR="00B953D5">
        <w:rPr>
          <w:sz w:val="22"/>
          <w:szCs w:val="22"/>
        </w:rPr>
        <w:t xml:space="preserve"> or we’re invited to investigation interaction effects</w:t>
      </w:r>
      <w:r w:rsidRPr="006B3D8E">
        <w:rPr>
          <w:sz w:val="22"/>
          <w:szCs w:val="22"/>
        </w:rPr>
        <w:t xml:space="preserve">. (513) </w:t>
      </w:r>
      <w:r w:rsidR="00B953D5">
        <w:rPr>
          <w:sz w:val="22"/>
          <w:szCs w:val="22"/>
        </w:rPr>
        <w:t>T</w:t>
      </w:r>
      <w:r w:rsidRPr="006B3D8E">
        <w:rPr>
          <w:sz w:val="22"/>
          <w:szCs w:val="22"/>
        </w:rPr>
        <w:t>he dynamic quality of development and the particular outcom</w:t>
      </w:r>
      <w:r w:rsidR="00B953D5">
        <w:rPr>
          <w:sz w:val="22"/>
          <w:szCs w:val="22"/>
        </w:rPr>
        <w:t>es are</w:t>
      </w:r>
      <w:r w:rsidRPr="006B3D8E">
        <w:rPr>
          <w:sz w:val="22"/>
          <w:szCs w:val="22"/>
        </w:rPr>
        <w:t xml:space="preserve"> a function of the contradictory influences of the standardizing impulses.  Change agents are f</w:t>
      </w:r>
      <w:r w:rsidR="00B953D5">
        <w:rPr>
          <w:sz w:val="22"/>
          <w:szCs w:val="22"/>
        </w:rPr>
        <w:t xml:space="preserve">orces rather than individuals. </w:t>
      </w:r>
      <w:r w:rsidR="00B953D5" w:rsidRPr="006B3D8E">
        <w:rPr>
          <w:sz w:val="22"/>
          <w:szCs w:val="22"/>
        </w:rPr>
        <w:t xml:space="preserve">[They take care to disagree with Foucault, p. 509.]  </w:t>
      </w:r>
      <w:r w:rsidR="00B953D5">
        <w:rPr>
          <w:sz w:val="22"/>
          <w:szCs w:val="22"/>
        </w:rPr>
        <w:t>T</w:t>
      </w:r>
      <w:r w:rsidRPr="006B3D8E">
        <w:rPr>
          <w:sz w:val="22"/>
          <w:szCs w:val="22"/>
        </w:rPr>
        <w:t xml:space="preserve">he forces interact with each other and </w:t>
      </w:r>
      <w:r>
        <w:rPr>
          <w:sz w:val="22"/>
          <w:szCs w:val="22"/>
        </w:rPr>
        <w:t xml:space="preserve">with </w:t>
      </w:r>
      <w:r w:rsidRPr="006B3D8E">
        <w:rPr>
          <w:sz w:val="22"/>
          <w:szCs w:val="22"/>
        </w:rPr>
        <w:t>the social and political contexts in which they take form</w:t>
      </w:r>
      <w:r>
        <w:rPr>
          <w:sz w:val="22"/>
          <w:szCs w:val="22"/>
        </w:rPr>
        <w:t xml:space="preserve"> to produce patterns of standardization</w:t>
      </w:r>
      <w:r w:rsidRPr="006B3D8E">
        <w:rPr>
          <w:sz w:val="22"/>
          <w:szCs w:val="22"/>
        </w:rPr>
        <w:t xml:space="preserve">. </w:t>
      </w:r>
      <w:proofErr w:type="gramStart"/>
      <w:r w:rsidRPr="006B3D8E">
        <w:rPr>
          <w:sz w:val="22"/>
          <w:szCs w:val="22"/>
        </w:rPr>
        <w:t>(512) But how exactly?</w:t>
      </w:r>
      <w:proofErr w:type="gramEnd"/>
      <w:r w:rsidRPr="006B3D8E">
        <w:rPr>
          <w:sz w:val="22"/>
          <w:szCs w:val="22"/>
        </w:rPr>
        <w:t xml:space="preserve"> </w:t>
      </w:r>
      <w:r w:rsidR="00B953D5">
        <w:rPr>
          <w:sz w:val="22"/>
          <w:szCs w:val="22"/>
        </w:rPr>
        <w:t xml:space="preserve"> </w:t>
      </w:r>
      <w:r w:rsidR="00B953D5" w:rsidRPr="006B3D8E">
        <w:rPr>
          <w:sz w:val="22"/>
          <w:szCs w:val="22"/>
        </w:rPr>
        <w:t>They, themselves, recommend the study of the FDA by Dan Carpenter</w:t>
      </w:r>
      <w:r w:rsidR="00B953D5">
        <w:rPr>
          <w:sz w:val="22"/>
          <w:szCs w:val="22"/>
        </w:rPr>
        <w:t xml:space="preserve"> as an excellent example of the research that</w:t>
      </w:r>
      <w:r w:rsidR="00B953D5" w:rsidRPr="006B3D8E">
        <w:rPr>
          <w:sz w:val="22"/>
          <w:szCs w:val="22"/>
        </w:rPr>
        <w:t xml:space="preserve"> should be done and</w:t>
      </w:r>
      <w:r w:rsidR="00B953D5">
        <w:rPr>
          <w:sz w:val="22"/>
          <w:szCs w:val="22"/>
        </w:rPr>
        <w:t>,</w:t>
      </w:r>
      <w:r w:rsidR="00B953D5" w:rsidRPr="006B3D8E">
        <w:rPr>
          <w:sz w:val="22"/>
          <w:szCs w:val="22"/>
        </w:rPr>
        <w:t xml:space="preserve"> yet</w:t>
      </w:r>
      <w:r w:rsidR="00B953D5">
        <w:rPr>
          <w:sz w:val="22"/>
          <w:szCs w:val="22"/>
        </w:rPr>
        <w:t>, his study</w:t>
      </w:r>
      <w:r w:rsidR="00B953D5" w:rsidRPr="006B3D8E">
        <w:rPr>
          <w:sz w:val="22"/>
          <w:szCs w:val="22"/>
        </w:rPr>
        <w:t xml:space="preserve"> seems</w:t>
      </w:r>
      <w:r w:rsidR="00B953D5">
        <w:rPr>
          <w:sz w:val="22"/>
          <w:szCs w:val="22"/>
        </w:rPr>
        <w:t xml:space="preserve"> to go beyond their theory because it describes </w:t>
      </w:r>
      <w:r w:rsidR="00B953D5" w:rsidRPr="006B3D8E">
        <w:rPr>
          <w:sz w:val="22"/>
          <w:szCs w:val="22"/>
        </w:rPr>
        <w:t xml:space="preserve">a </w:t>
      </w:r>
      <w:r w:rsidR="00B953D5">
        <w:rPr>
          <w:sz w:val="22"/>
          <w:szCs w:val="22"/>
        </w:rPr>
        <w:t xml:space="preserve">particular </w:t>
      </w:r>
      <w:r w:rsidR="00B953D5" w:rsidRPr="006B3D8E">
        <w:rPr>
          <w:sz w:val="22"/>
          <w:szCs w:val="22"/>
        </w:rPr>
        <w:t>learning environment that</w:t>
      </w:r>
      <w:r w:rsidR="00B953D5">
        <w:rPr>
          <w:sz w:val="22"/>
          <w:szCs w:val="22"/>
        </w:rPr>
        <w:t xml:space="preserve"> was not determined by any of the meta rul</w:t>
      </w:r>
      <w:r w:rsidR="00B953D5" w:rsidRPr="006B3D8E">
        <w:rPr>
          <w:sz w:val="22"/>
          <w:szCs w:val="22"/>
        </w:rPr>
        <w:t>es.</w:t>
      </w:r>
    </w:p>
    <w:p w:rsidR="00B953D5" w:rsidRDefault="00B953D5" w:rsidP="00B953D5">
      <w:pPr>
        <w:spacing w:line="480" w:lineRule="auto"/>
        <w:ind w:firstLine="720"/>
        <w:rPr>
          <w:sz w:val="22"/>
          <w:szCs w:val="22"/>
        </w:rPr>
      </w:pPr>
    </w:p>
    <w:p w:rsidR="00B953D5" w:rsidRDefault="00A509D1" w:rsidP="00B953D5">
      <w:pPr>
        <w:spacing w:line="480" w:lineRule="auto"/>
        <w:ind w:firstLine="720"/>
        <w:rPr>
          <w:sz w:val="22"/>
          <w:szCs w:val="22"/>
        </w:rPr>
      </w:pPr>
      <w:r>
        <w:rPr>
          <w:sz w:val="22"/>
          <w:szCs w:val="22"/>
        </w:rPr>
        <w:t>Pragmatists ask in what ways an institution contributes to individual capacity to self-govern.  T</w:t>
      </w:r>
      <w:r w:rsidR="00B953D5">
        <w:rPr>
          <w:sz w:val="22"/>
          <w:szCs w:val="22"/>
        </w:rPr>
        <w:t>he state i</w:t>
      </w:r>
      <w:r w:rsidR="009B7484" w:rsidRPr="006B3D8E">
        <w:rPr>
          <w:sz w:val="22"/>
          <w:szCs w:val="22"/>
        </w:rPr>
        <w:t xml:space="preserve">s an on-going concern that already has concrete links between officials and citizens through the routines </w:t>
      </w:r>
      <w:r w:rsidR="00B953D5">
        <w:rPr>
          <w:sz w:val="22"/>
          <w:szCs w:val="22"/>
        </w:rPr>
        <w:t>of work that they</w:t>
      </w:r>
      <w:r w:rsidR="009B7484" w:rsidRPr="006B3D8E">
        <w:rPr>
          <w:sz w:val="22"/>
          <w:szCs w:val="22"/>
        </w:rPr>
        <w:t xml:space="preserve"> pursue and the formation of relationships among them that contribute to their capacity to get their work done. </w:t>
      </w:r>
      <w:r>
        <w:rPr>
          <w:sz w:val="22"/>
          <w:szCs w:val="22"/>
        </w:rPr>
        <w:t xml:space="preserve"> </w:t>
      </w:r>
      <w:r w:rsidRPr="006B3D8E">
        <w:rPr>
          <w:sz w:val="22"/>
          <w:szCs w:val="22"/>
        </w:rPr>
        <w:t xml:space="preserve">The </w:t>
      </w:r>
      <w:r w:rsidR="00B953D5">
        <w:rPr>
          <w:sz w:val="22"/>
          <w:szCs w:val="22"/>
        </w:rPr>
        <w:t xml:space="preserve">pragmatist </w:t>
      </w:r>
      <w:r w:rsidRPr="006B3D8E">
        <w:rPr>
          <w:sz w:val="22"/>
          <w:szCs w:val="22"/>
        </w:rPr>
        <w:t>alternative is to see the deep</w:t>
      </w:r>
      <w:r w:rsidR="00B953D5">
        <w:rPr>
          <w:sz w:val="22"/>
          <w:szCs w:val="22"/>
        </w:rPr>
        <w:t xml:space="preserve"> and concrete</w:t>
      </w:r>
      <w:r w:rsidRPr="006B3D8E">
        <w:rPr>
          <w:sz w:val="22"/>
          <w:szCs w:val="22"/>
        </w:rPr>
        <w:t xml:space="preserve"> inter-penetration </w:t>
      </w:r>
      <w:r w:rsidR="000779F7">
        <w:rPr>
          <w:sz w:val="22"/>
          <w:szCs w:val="22"/>
        </w:rPr>
        <w:t xml:space="preserve">[??] </w:t>
      </w:r>
      <w:r w:rsidRPr="006B3D8E">
        <w:rPr>
          <w:sz w:val="22"/>
          <w:szCs w:val="22"/>
        </w:rPr>
        <w:t>of t</w:t>
      </w:r>
      <w:r w:rsidR="00B953D5">
        <w:rPr>
          <w:sz w:val="22"/>
          <w:szCs w:val="22"/>
        </w:rPr>
        <w:t>he state and society in projects that seek to</w:t>
      </w:r>
      <w:r w:rsidRPr="006B3D8E">
        <w:rPr>
          <w:sz w:val="22"/>
          <w:szCs w:val="22"/>
        </w:rPr>
        <w:t xml:space="preserve"> stabilize pieces of rea</w:t>
      </w:r>
      <w:r w:rsidR="00B953D5">
        <w:rPr>
          <w:sz w:val="22"/>
          <w:szCs w:val="22"/>
        </w:rPr>
        <w:t>lity sufficiently to enable agents</w:t>
      </w:r>
      <w:r w:rsidRPr="006B3D8E">
        <w:rPr>
          <w:sz w:val="22"/>
          <w:szCs w:val="22"/>
        </w:rPr>
        <w:t xml:space="preserve"> to act capably to achieve goals. Sometimes citizens enlist the state to help them and sometimes </w:t>
      </w:r>
      <w:r w:rsidRPr="006B3D8E">
        <w:rPr>
          <w:sz w:val="22"/>
          <w:szCs w:val="22"/>
        </w:rPr>
        <w:lastRenderedPageBreak/>
        <w:t>state officials control situations to establish stability, but a l</w:t>
      </w:r>
      <w:r w:rsidR="00B953D5">
        <w:rPr>
          <w:sz w:val="22"/>
          <w:szCs w:val="22"/>
        </w:rPr>
        <w:t xml:space="preserve">ot of the time individuals </w:t>
      </w:r>
      <w:r w:rsidRPr="006B3D8E">
        <w:rPr>
          <w:sz w:val="22"/>
          <w:szCs w:val="22"/>
        </w:rPr>
        <w:t xml:space="preserve">go about their business according to habits adopted from past state-citizen governing projects and they improvise solutions where no standard seems to operate. </w:t>
      </w:r>
    </w:p>
    <w:p w:rsidR="009B7484" w:rsidRPr="006B3D8E" w:rsidRDefault="009B7484" w:rsidP="00B953D5">
      <w:pPr>
        <w:spacing w:line="480" w:lineRule="auto"/>
        <w:ind w:firstLine="720"/>
        <w:rPr>
          <w:sz w:val="22"/>
          <w:szCs w:val="22"/>
        </w:rPr>
      </w:pPr>
      <w:r w:rsidRPr="006B3D8E">
        <w:rPr>
          <w:sz w:val="22"/>
          <w:szCs w:val="22"/>
        </w:rPr>
        <w:t>The research focus is on how the specific agents go about their work and address problems they perceive.  That means things like bureaucratic procedures, documents, court proceedings, conferences about goals and policies, information sharing along the network of agents in the field about problematic situations, research procedures and evaluation of results, monitoring techniques, and so on.  Thes</w:t>
      </w:r>
      <w:r w:rsidR="00B953D5">
        <w:rPr>
          <w:sz w:val="22"/>
          <w:szCs w:val="22"/>
        </w:rPr>
        <w:t xml:space="preserve">e work routines </w:t>
      </w:r>
      <w:r w:rsidRPr="006B3D8E">
        <w:rPr>
          <w:sz w:val="22"/>
          <w:szCs w:val="22"/>
        </w:rPr>
        <w:t>are at least partly</w:t>
      </w:r>
      <w:r w:rsidR="00B953D5">
        <w:rPr>
          <w:sz w:val="22"/>
          <w:szCs w:val="22"/>
        </w:rPr>
        <w:t xml:space="preserve"> informed by institutional concepts</w:t>
      </w:r>
      <w:r w:rsidRPr="006B3D8E">
        <w:rPr>
          <w:sz w:val="22"/>
          <w:szCs w:val="22"/>
        </w:rPr>
        <w:t xml:space="preserve"> and procedures, but a lot is relatively ungoverned in the daily agenda.  Disruption of routine prompts reflection and potential re-assemblage of these concrete pieces of government.  </w:t>
      </w:r>
      <w:r w:rsidR="00A214CC" w:rsidRPr="006B3D8E">
        <w:rPr>
          <w:sz w:val="22"/>
          <w:szCs w:val="22"/>
        </w:rPr>
        <w:t>In contrast to being cases of something, the agents regain the ability to tell us something that we don’t already know about how stuff happens (facts are created and acted on, how individuals get other individuals to do something, the role of events etc.).</w:t>
      </w:r>
      <w:r w:rsidR="00A214CC">
        <w:rPr>
          <w:sz w:val="22"/>
          <w:szCs w:val="22"/>
        </w:rPr>
        <w:t xml:space="preserve"> </w:t>
      </w:r>
    </w:p>
    <w:p w:rsidR="00D1584E" w:rsidRDefault="00D1584E" w:rsidP="00837774">
      <w:pPr>
        <w:spacing w:line="480" w:lineRule="auto"/>
        <w:ind w:firstLine="720"/>
        <w:rPr>
          <w:sz w:val="22"/>
          <w:szCs w:val="22"/>
        </w:rPr>
      </w:pPr>
    </w:p>
    <w:p w:rsidR="003B2A5C" w:rsidRDefault="00D1584E" w:rsidP="00837774">
      <w:pPr>
        <w:spacing w:line="480" w:lineRule="auto"/>
        <w:ind w:firstLine="720"/>
        <w:rPr>
          <w:sz w:val="22"/>
          <w:szCs w:val="22"/>
        </w:rPr>
      </w:pPr>
      <w:r>
        <w:rPr>
          <w:sz w:val="22"/>
          <w:szCs w:val="22"/>
        </w:rPr>
        <w:t>In contrast</w:t>
      </w:r>
      <w:r w:rsidR="00252919">
        <w:rPr>
          <w:sz w:val="22"/>
          <w:szCs w:val="22"/>
        </w:rPr>
        <w:t xml:space="preserve"> </w:t>
      </w:r>
      <w:r w:rsidR="00522679">
        <w:rPr>
          <w:sz w:val="22"/>
          <w:szCs w:val="22"/>
        </w:rPr>
        <w:t xml:space="preserve">to </w:t>
      </w:r>
      <w:proofErr w:type="gramStart"/>
      <w:r w:rsidR="00252919">
        <w:rPr>
          <w:sz w:val="22"/>
          <w:szCs w:val="22"/>
        </w:rPr>
        <w:t>meta</w:t>
      </w:r>
      <w:proofErr w:type="gramEnd"/>
      <w:r w:rsidR="00252919">
        <w:rPr>
          <w:sz w:val="22"/>
          <w:szCs w:val="22"/>
        </w:rPr>
        <w:t xml:space="preserve"> rules</w:t>
      </w:r>
      <w:r>
        <w:rPr>
          <w:sz w:val="22"/>
          <w:szCs w:val="22"/>
        </w:rPr>
        <w:t xml:space="preserve">, meta </w:t>
      </w:r>
      <w:r w:rsidRPr="00D1584E">
        <w:rPr>
          <w:b/>
          <w:i/>
          <w:sz w:val="22"/>
          <w:szCs w:val="22"/>
        </w:rPr>
        <w:t>concepts</w:t>
      </w:r>
      <w:r>
        <w:rPr>
          <w:sz w:val="22"/>
          <w:szCs w:val="22"/>
        </w:rPr>
        <w:t xml:space="preserve"> are proposed b</w:t>
      </w:r>
      <w:r w:rsidR="00252919">
        <w:rPr>
          <w:sz w:val="22"/>
          <w:szCs w:val="22"/>
        </w:rPr>
        <w:t>y specific people and deliberately spread through associational means</w:t>
      </w:r>
      <w:r w:rsidR="00D40BDF">
        <w:rPr>
          <w:sz w:val="22"/>
          <w:szCs w:val="22"/>
        </w:rPr>
        <w:t xml:space="preserve"> to mobilize resources</w:t>
      </w:r>
      <w:r w:rsidR="00252919">
        <w:rPr>
          <w:sz w:val="22"/>
          <w:szCs w:val="22"/>
        </w:rPr>
        <w:t>.</w:t>
      </w:r>
      <w:r>
        <w:rPr>
          <w:sz w:val="22"/>
          <w:szCs w:val="22"/>
        </w:rPr>
        <w:t xml:space="preserve">  </w:t>
      </w:r>
      <w:r w:rsidR="00252919">
        <w:rPr>
          <w:sz w:val="22"/>
          <w:szCs w:val="22"/>
        </w:rPr>
        <w:t xml:space="preserve">The </w:t>
      </w:r>
      <w:proofErr w:type="gramStart"/>
      <w:r w:rsidR="00252919">
        <w:rPr>
          <w:sz w:val="22"/>
          <w:szCs w:val="22"/>
        </w:rPr>
        <w:t>meta</w:t>
      </w:r>
      <w:proofErr w:type="gramEnd"/>
      <w:r w:rsidR="00252919">
        <w:rPr>
          <w:sz w:val="22"/>
          <w:szCs w:val="22"/>
        </w:rPr>
        <w:t xml:space="preserve"> c</w:t>
      </w:r>
      <w:r w:rsidR="00D40BDF">
        <w:rPr>
          <w:sz w:val="22"/>
          <w:szCs w:val="22"/>
        </w:rPr>
        <w:t>oncept is general enough to</w:t>
      </w:r>
      <w:r w:rsidR="00252919">
        <w:rPr>
          <w:sz w:val="22"/>
          <w:szCs w:val="22"/>
        </w:rPr>
        <w:t xml:space="preserve"> appeals to a broad range of agents in many organizations who identify</w:t>
      </w:r>
      <w:r w:rsidR="000B76DC">
        <w:rPr>
          <w:sz w:val="22"/>
          <w:szCs w:val="22"/>
        </w:rPr>
        <w:t xml:space="preserve"> something useful about it to discuss and orient their responses to a problematic situation.  The conceptual orientation contributes to concrete actions that ground the concept in a practice.  </w:t>
      </w:r>
      <w:r w:rsidR="00D1497F">
        <w:rPr>
          <w:sz w:val="22"/>
          <w:szCs w:val="22"/>
        </w:rPr>
        <w:t xml:space="preserve">Some concepts don’t </w:t>
      </w:r>
      <w:r w:rsidR="00252919">
        <w:rPr>
          <w:sz w:val="22"/>
          <w:szCs w:val="22"/>
        </w:rPr>
        <w:t>get grounded; they</w:t>
      </w:r>
      <w:r w:rsidR="00D1497F">
        <w:rPr>
          <w:sz w:val="22"/>
          <w:szCs w:val="22"/>
        </w:rPr>
        <w:t xml:space="preserve"> may become an object around which debate occurs, but no practice develops to give them traction as a solution to a problem.  </w:t>
      </w:r>
      <w:r w:rsidR="00D40BDF">
        <w:rPr>
          <w:sz w:val="22"/>
          <w:szCs w:val="22"/>
        </w:rPr>
        <w:t>For example, a</w:t>
      </w:r>
      <w:r w:rsidR="004F27AA">
        <w:rPr>
          <w:sz w:val="22"/>
          <w:szCs w:val="22"/>
        </w:rPr>
        <w:t xml:space="preserve">ccording to a study of housing policy in New Orleans, one failed </w:t>
      </w:r>
      <w:proofErr w:type="gramStart"/>
      <w:r w:rsidR="004F27AA">
        <w:rPr>
          <w:sz w:val="22"/>
          <w:szCs w:val="22"/>
        </w:rPr>
        <w:t>meta</w:t>
      </w:r>
      <w:proofErr w:type="gramEnd"/>
      <w:r w:rsidR="004F27AA">
        <w:rPr>
          <w:sz w:val="22"/>
          <w:szCs w:val="22"/>
        </w:rPr>
        <w:t xml:space="preserve"> concept was “the right of return” for the people who were displaced by </w:t>
      </w:r>
      <w:r w:rsidR="003B2A5C">
        <w:rPr>
          <w:sz w:val="22"/>
          <w:szCs w:val="22"/>
        </w:rPr>
        <w:t xml:space="preserve">the </w:t>
      </w:r>
      <w:r w:rsidR="004F27AA">
        <w:rPr>
          <w:sz w:val="22"/>
          <w:szCs w:val="22"/>
        </w:rPr>
        <w:t xml:space="preserve">flood and post-flood destruction of low-income housing.  A specific organization proposed transposing the </w:t>
      </w:r>
      <w:r w:rsidR="004F27AA">
        <w:rPr>
          <w:sz w:val="22"/>
          <w:szCs w:val="22"/>
        </w:rPr>
        <w:lastRenderedPageBreak/>
        <w:t xml:space="preserve">international </w:t>
      </w:r>
      <w:r w:rsidR="00D60858">
        <w:rPr>
          <w:sz w:val="22"/>
          <w:szCs w:val="22"/>
        </w:rPr>
        <w:t xml:space="preserve">human rights </w:t>
      </w:r>
      <w:r w:rsidR="004F27AA">
        <w:rPr>
          <w:sz w:val="22"/>
          <w:szCs w:val="22"/>
        </w:rPr>
        <w:t>concept of a “right of return” to the New Orleans context; interestingly</w:t>
      </w:r>
      <w:r w:rsidR="003B2A5C">
        <w:rPr>
          <w:sz w:val="22"/>
          <w:szCs w:val="22"/>
        </w:rPr>
        <w:t>,</w:t>
      </w:r>
      <w:r w:rsidR="004F27AA">
        <w:rPr>
          <w:sz w:val="22"/>
          <w:szCs w:val="22"/>
        </w:rPr>
        <w:t xml:space="preserve"> the Louisiana Congressional delegation </w:t>
      </w:r>
      <w:r w:rsidR="003B2A5C">
        <w:rPr>
          <w:sz w:val="22"/>
          <w:szCs w:val="22"/>
        </w:rPr>
        <w:t xml:space="preserve">initially </w:t>
      </w:r>
      <w:r w:rsidR="004F27AA">
        <w:rPr>
          <w:sz w:val="22"/>
          <w:szCs w:val="22"/>
        </w:rPr>
        <w:t>accepted the concept; but, in the end, the concept was not linked to a practice of returning residents to the city.</w:t>
      </w:r>
      <w:r w:rsidR="00D60858">
        <w:rPr>
          <w:rStyle w:val="EndnoteReference"/>
          <w:sz w:val="22"/>
          <w:szCs w:val="22"/>
        </w:rPr>
        <w:endnoteReference w:id="11"/>
      </w:r>
      <w:r w:rsidR="004F27AA">
        <w:rPr>
          <w:sz w:val="22"/>
          <w:szCs w:val="22"/>
        </w:rPr>
        <w:t xml:space="preserve">  </w:t>
      </w:r>
      <w:r w:rsidR="00CF7870">
        <w:rPr>
          <w:sz w:val="22"/>
          <w:szCs w:val="22"/>
        </w:rPr>
        <w:t xml:space="preserve">The reason meta concepts do or </w:t>
      </w:r>
      <w:r w:rsidR="004F27AA">
        <w:rPr>
          <w:sz w:val="22"/>
          <w:szCs w:val="22"/>
        </w:rPr>
        <w:t>don’t get traction is tha</w:t>
      </w:r>
      <w:r w:rsidR="00CF7870">
        <w:rPr>
          <w:sz w:val="22"/>
          <w:szCs w:val="22"/>
        </w:rPr>
        <w:t xml:space="preserve">t the concept is or is </w:t>
      </w:r>
      <w:r w:rsidR="003B2A5C">
        <w:rPr>
          <w:sz w:val="22"/>
          <w:szCs w:val="22"/>
        </w:rPr>
        <w:t xml:space="preserve">not useful </w:t>
      </w:r>
      <w:r w:rsidR="0066583A">
        <w:rPr>
          <w:sz w:val="22"/>
          <w:szCs w:val="22"/>
        </w:rPr>
        <w:t xml:space="preserve">for </w:t>
      </w:r>
      <w:r w:rsidR="003B2A5C">
        <w:rPr>
          <w:sz w:val="22"/>
          <w:szCs w:val="22"/>
        </w:rPr>
        <w:t>helping the various organizations and agents who are involved in the problem to express their</w:t>
      </w:r>
      <w:r w:rsidR="004F27AA">
        <w:rPr>
          <w:sz w:val="22"/>
          <w:szCs w:val="22"/>
        </w:rPr>
        <w:t xml:space="preserve"> commitments and </w:t>
      </w:r>
      <w:r w:rsidR="003B2A5C">
        <w:rPr>
          <w:sz w:val="22"/>
          <w:szCs w:val="22"/>
        </w:rPr>
        <w:t xml:space="preserve">to </w:t>
      </w:r>
      <w:r w:rsidR="004F27AA">
        <w:rPr>
          <w:sz w:val="22"/>
          <w:szCs w:val="22"/>
        </w:rPr>
        <w:t>coordin</w:t>
      </w:r>
      <w:r w:rsidR="0066583A">
        <w:rPr>
          <w:sz w:val="22"/>
          <w:szCs w:val="22"/>
        </w:rPr>
        <w:t>ate their actions. Typically</w:t>
      </w:r>
      <w:r w:rsidR="004F27AA">
        <w:rPr>
          <w:sz w:val="22"/>
          <w:szCs w:val="22"/>
        </w:rPr>
        <w:t>, the failure is because th</w:t>
      </w:r>
      <w:r w:rsidR="003B2A5C">
        <w:rPr>
          <w:sz w:val="22"/>
          <w:szCs w:val="22"/>
        </w:rPr>
        <w:t xml:space="preserve">e concept is unilateral or </w:t>
      </w:r>
      <w:r w:rsidR="004F27AA">
        <w:rPr>
          <w:sz w:val="22"/>
          <w:szCs w:val="22"/>
        </w:rPr>
        <w:t xml:space="preserve">marginal to the on-going activity of most groups… </w:t>
      </w:r>
      <w:r w:rsidR="0066583A">
        <w:rPr>
          <w:rStyle w:val="EndnoteReference"/>
          <w:sz w:val="22"/>
          <w:szCs w:val="22"/>
        </w:rPr>
        <w:endnoteReference w:id="12"/>
      </w:r>
      <w:r w:rsidR="0066583A">
        <w:rPr>
          <w:sz w:val="22"/>
          <w:szCs w:val="22"/>
        </w:rPr>
        <w:t xml:space="preserve"> </w:t>
      </w:r>
      <w:r w:rsidR="004F27AA">
        <w:rPr>
          <w:sz w:val="22"/>
          <w:szCs w:val="22"/>
        </w:rPr>
        <w:t xml:space="preserve"> More successful examples of meta concepts are “net neutrality” for internet service providers and a “labor market for everyone”, a concept around which the Danish Active Labor Market Policy has been organized.  </w:t>
      </w:r>
    </w:p>
    <w:p w:rsidR="002C662C" w:rsidRDefault="002C662C" w:rsidP="00837774">
      <w:pPr>
        <w:spacing w:line="480" w:lineRule="auto"/>
        <w:ind w:firstLine="720"/>
        <w:rPr>
          <w:sz w:val="22"/>
          <w:szCs w:val="22"/>
        </w:rPr>
      </w:pPr>
    </w:p>
    <w:p w:rsidR="00B915AB" w:rsidRDefault="0066583A" w:rsidP="003B2A5C">
      <w:pPr>
        <w:spacing w:line="480" w:lineRule="auto"/>
        <w:ind w:firstLine="360"/>
        <w:rPr>
          <w:sz w:val="22"/>
          <w:szCs w:val="22"/>
        </w:rPr>
      </w:pPr>
      <w:r>
        <w:rPr>
          <w:sz w:val="22"/>
          <w:szCs w:val="22"/>
        </w:rPr>
        <w:tab/>
        <w:t xml:space="preserve">In </w:t>
      </w:r>
      <w:r w:rsidR="00D24375" w:rsidRPr="006B3D8E">
        <w:rPr>
          <w:sz w:val="22"/>
          <w:szCs w:val="22"/>
        </w:rPr>
        <w:t xml:space="preserve">the </w:t>
      </w:r>
      <w:r>
        <w:rPr>
          <w:sz w:val="22"/>
          <w:szCs w:val="22"/>
        </w:rPr>
        <w:t xml:space="preserve">case of auto rescue of the American auto industry, there were </w:t>
      </w:r>
      <w:proofErr w:type="gramStart"/>
      <w:r>
        <w:rPr>
          <w:sz w:val="22"/>
          <w:szCs w:val="22"/>
        </w:rPr>
        <w:t>meta</w:t>
      </w:r>
      <w:proofErr w:type="gramEnd"/>
      <w:r>
        <w:rPr>
          <w:sz w:val="22"/>
          <w:szCs w:val="22"/>
        </w:rPr>
        <w:t xml:space="preserve"> concepts that didn’t work and those that did.  One unworkable concept was the “shareholder value” concept of corporate governance</w:t>
      </w:r>
      <w:r w:rsidR="0033654E">
        <w:rPr>
          <w:sz w:val="22"/>
          <w:szCs w:val="22"/>
        </w:rPr>
        <w:t xml:space="preserve">, which otherwise </w:t>
      </w:r>
      <w:r w:rsidR="003B2A5C">
        <w:rPr>
          <w:sz w:val="22"/>
          <w:szCs w:val="22"/>
        </w:rPr>
        <w:t>has been</w:t>
      </w:r>
      <w:r>
        <w:rPr>
          <w:sz w:val="22"/>
          <w:szCs w:val="22"/>
        </w:rPr>
        <w:t xml:space="preserve"> very influential in U.S. financial markets. </w:t>
      </w:r>
      <w:r w:rsidR="00B915AB">
        <w:rPr>
          <w:sz w:val="22"/>
          <w:szCs w:val="22"/>
        </w:rPr>
        <w:t xml:space="preserve"> A concept that was powerful was “lean production”.  Let me now sketch out a pragmatist analysis of the auto rescue.  </w:t>
      </w:r>
    </w:p>
    <w:p w:rsidR="003B2A5C" w:rsidRDefault="0066583A" w:rsidP="00B915AB">
      <w:pPr>
        <w:spacing w:line="480" w:lineRule="auto"/>
        <w:ind w:firstLine="720"/>
        <w:rPr>
          <w:sz w:val="22"/>
          <w:szCs w:val="22"/>
        </w:rPr>
      </w:pPr>
      <w:r>
        <w:rPr>
          <w:sz w:val="22"/>
          <w:szCs w:val="22"/>
        </w:rPr>
        <w:t xml:space="preserve">First consider that few would have predicted that the so-called weak U.S. state could take over and </w:t>
      </w:r>
      <w:r w:rsidR="000D0035">
        <w:rPr>
          <w:sz w:val="22"/>
          <w:szCs w:val="22"/>
        </w:rPr>
        <w:t xml:space="preserve">successfully </w:t>
      </w:r>
      <w:r>
        <w:rPr>
          <w:sz w:val="22"/>
          <w:szCs w:val="22"/>
        </w:rPr>
        <w:t xml:space="preserve">restructure one of the largest sectors of the economy.  </w:t>
      </w:r>
      <w:r w:rsidR="000C2320">
        <w:rPr>
          <w:sz w:val="22"/>
          <w:szCs w:val="22"/>
        </w:rPr>
        <w:t xml:space="preserve"> But the</w:t>
      </w:r>
      <w:r w:rsidR="0033654E">
        <w:rPr>
          <w:sz w:val="22"/>
          <w:szCs w:val="22"/>
        </w:rPr>
        <w:t xml:space="preserve"> frame of government “take over” (versus a ha</w:t>
      </w:r>
      <w:r w:rsidR="003B2A5C">
        <w:rPr>
          <w:sz w:val="22"/>
          <w:szCs w:val="22"/>
        </w:rPr>
        <w:t>nds-off free market) doesn’t describe the situation for the industry agents</w:t>
      </w:r>
      <w:r w:rsidR="0033654E">
        <w:rPr>
          <w:sz w:val="22"/>
          <w:szCs w:val="22"/>
        </w:rPr>
        <w:t xml:space="preserve">:  </w:t>
      </w:r>
      <w:r w:rsidR="003B2A5C">
        <w:rPr>
          <w:sz w:val="22"/>
          <w:szCs w:val="22"/>
        </w:rPr>
        <w:t xml:space="preserve">to them </w:t>
      </w:r>
      <w:r w:rsidR="0033654E">
        <w:rPr>
          <w:sz w:val="22"/>
          <w:szCs w:val="22"/>
        </w:rPr>
        <w:t xml:space="preserve">the industry always was governed. What changed is the way the industry was governed. </w:t>
      </w:r>
      <w:r w:rsidR="003B2A5C">
        <w:rPr>
          <w:sz w:val="22"/>
          <w:szCs w:val="22"/>
        </w:rPr>
        <w:t xml:space="preserve"> </w:t>
      </w:r>
      <w:r w:rsidR="00B915AB">
        <w:rPr>
          <w:sz w:val="22"/>
          <w:szCs w:val="22"/>
        </w:rPr>
        <w:t xml:space="preserve">Second, the auto industry is usually understood as the paradigm of mass production manufacturing and bureaucratic hierarchy.  Little in our stylized histories </w:t>
      </w:r>
      <w:r w:rsidR="004508ED">
        <w:rPr>
          <w:sz w:val="22"/>
          <w:szCs w:val="22"/>
        </w:rPr>
        <w:t xml:space="preserve">of </w:t>
      </w:r>
      <w:proofErr w:type="spellStart"/>
      <w:r w:rsidR="004508ED">
        <w:rPr>
          <w:sz w:val="22"/>
          <w:szCs w:val="22"/>
        </w:rPr>
        <w:t>Fordism</w:t>
      </w:r>
      <w:proofErr w:type="spellEnd"/>
      <w:r w:rsidR="004508ED">
        <w:rPr>
          <w:sz w:val="22"/>
          <w:szCs w:val="22"/>
        </w:rPr>
        <w:t xml:space="preserve"> </w:t>
      </w:r>
      <w:r w:rsidR="00B915AB">
        <w:rPr>
          <w:sz w:val="22"/>
          <w:szCs w:val="22"/>
        </w:rPr>
        <w:t>prepares us to perceive that the industry contai</w:t>
      </w:r>
      <w:r w:rsidR="004508ED">
        <w:rPr>
          <w:sz w:val="22"/>
          <w:szCs w:val="22"/>
        </w:rPr>
        <w:t>ned</w:t>
      </w:r>
      <w:r w:rsidR="00B915AB">
        <w:rPr>
          <w:sz w:val="22"/>
          <w:szCs w:val="22"/>
        </w:rPr>
        <w:t xml:space="preserve"> a significant degree of co-determination and social learning</w:t>
      </w:r>
      <w:r w:rsidR="004508ED">
        <w:rPr>
          <w:sz w:val="22"/>
          <w:szCs w:val="22"/>
        </w:rPr>
        <w:t>, but it did</w:t>
      </w:r>
      <w:r w:rsidR="00B915AB">
        <w:rPr>
          <w:sz w:val="22"/>
          <w:szCs w:val="22"/>
        </w:rPr>
        <w:t xml:space="preserve">.  [By codetermination, I do not mean co-determination as established in German law; I mean something like the </w:t>
      </w:r>
      <w:r w:rsidR="00B915AB">
        <w:rPr>
          <w:sz w:val="22"/>
          <w:szCs w:val="22"/>
        </w:rPr>
        <w:lastRenderedPageBreak/>
        <w:t xml:space="preserve">collaborative forms identified by pragmatists by which workers, managers, and others in the industry produced cars.]  </w:t>
      </w:r>
      <w:r w:rsidR="004508ED">
        <w:rPr>
          <w:sz w:val="22"/>
          <w:szCs w:val="22"/>
        </w:rPr>
        <w:t xml:space="preserve">Instead, I propose that mass production was a </w:t>
      </w:r>
      <w:proofErr w:type="gramStart"/>
      <w:r w:rsidR="004508ED">
        <w:rPr>
          <w:sz w:val="22"/>
          <w:szCs w:val="22"/>
        </w:rPr>
        <w:t>meta</w:t>
      </w:r>
      <w:proofErr w:type="gramEnd"/>
      <w:r w:rsidR="004508ED">
        <w:rPr>
          <w:sz w:val="22"/>
          <w:szCs w:val="22"/>
        </w:rPr>
        <w:t xml:space="preserve"> concept that effectively oriented the agents in the industry as well as significant agents beyond the primary field of manufacturing in various governmental agencies.  The practical reality of everyday work, however, was specific and detailed far beyond the generality of the concept.  Nonetheless, the broad acceptance of the general meaning of mass production manufacturing created a common set of perceptions and expectations that contributed to dialogue and problem</w:t>
      </w:r>
      <w:r w:rsidR="00015C4F">
        <w:rPr>
          <w:sz w:val="22"/>
          <w:szCs w:val="22"/>
        </w:rPr>
        <w:t xml:space="preserve">-solving on an everyday basis of all those “wicked problems” associated with complex human organizations.  I make a distinction, then, between </w:t>
      </w:r>
      <w:proofErr w:type="gramStart"/>
      <w:r w:rsidR="00015C4F">
        <w:rPr>
          <w:sz w:val="22"/>
          <w:szCs w:val="22"/>
        </w:rPr>
        <w:t>a logic</w:t>
      </w:r>
      <w:proofErr w:type="gramEnd"/>
      <w:r w:rsidR="00015C4F">
        <w:rPr>
          <w:sz w:val="22"/>
          <w:szCs w:val="22"/>
        </w:rPr>
        <w:t xml:space="preserve"> of orientation to meta concepts and the logic of practice.</w:t>
      </w:r>
      <w:r w:rsidR="00015C4F" w:rsidRPr="00015C4F">
        <w:rPr>
          <w:rFonts w:ascii="Times New Roman" w:hAnsi="Times New Roman"/>
        </w:rPr>
        <w:t xml:space="preserve"> </w:t>
      </w:r>
      <w:r w:rsidR="00015C4F">
        <w:rPr>
          <w:rFonts w:ascii="Times New Roman" w:hAnsi="Times New Roman"/>
        </w:rPr>
        <w:t xml:space="preserve"> </w:t>
      </w:r>
      <w:r w:rsidR="00015C4F" w:rsidRPr="00C442CE">
        <w:rPr>
          <w:rFonts w:ascii="Times New Roman" w:hAnsi="Times New Roman"/>
        </w:rPr>
        <w:t>The logic of practice emerges because the actual situations at work are more complex than models can encompass and because the background conditions for production organization are not fixed.</w:t>
      </w:r>
    </w:p>
    <w:p w:rsidR="00015C4F" w:rsidRPr="00C442CE" w:rsidRDefault="00015C4F" w:rsidP="00015C4F">
      <w:pPr>
        <w:spacing w:line="480" w:lineRule="auto"/>
        <w:ind w:firstLine="720"/>
        <w:rPr>
          <w:rFonts w:ascii="Times New Roman" w:hAnsi="Times New Roman"/>
        </w:rPr>
      </w:pPr>
      <w:r w:rsidRPr="00C442CE">
        <w:rPr>
          <w:rFonts w:ascii="Times New Roman" w:hAnsi="Times New Roman"/>
        </w:rPr>
        <w:t xml:space="preserve">In the 1980’s, workers and managers increasingly became re-oriented to a new </w:t>
      </w:r>
      <w:proofErr w:type="gramStart"/>
      <w:r>
        <w:rPr>
          <w:rFonts w:ascii="Times New Roman" w:hAnsi="Times New Roman"/>
        </w:rPr>
        <w:t>meta</w:t>
      </w:r>
      <w:proofErr w:type="gramEnd"/>
      <w:r>
        <w:rPr>
          <w:rFonts w:ascii="Times New Roman" w:hAnsi="Times New Roman"/>
        </w:rPr>
        <w:t xml:space="preserve"> </w:t>
      </w:r>
      <w:r w:rsidRPr="00C442CE">
        <w:rPr>
          <w:rFonts w:ascii="Times New Roman" w:hAnsi="Times New Roman"/>
        </w:rPr>
        <w:t xml:space="preserve">logic associated with the Toyota production system (or Lean Production). </w:t>
      </w:r>
      <w:r>
        <w:rPr>
          <w:rFonts w:ascii="Times New Roman" w:hAnsi="Times New Roman"/>
        </w:rPr>
        <w:t xml:space="preserve"> Successful a</w:t>
      </w:r>
      <w:r w:rsidRPr="00C442CE">
        <w:rPr>
          <w:rFonts w:ascii="Times New Roman" w:hAnsi="Times New Roman"/>
        </w:rPr>
        <w:t xml:space="preserve">daptation depends on agents’ assessments of their options and on the political conditions that support (or not) the authority of agents to take action. </w:t>
      </w:r>
      <w:r w:rsidRPr="00C442CE">
        <w:rPr>
          <w:rStyle w:val="EndnoteReference"/>
          <w:rFonts w:ascii="Times New Roman" w:hAnsi="Times New Roman"/>
        </w:rPr>
        <w:endnoteReference w:id="13"/>
      </w:r>
      <w:r w:rsidRPr="00C442CE">
        <w:rPr>
          <w:rFonts w:ascii="Times New Roman" w:hAnsi="Times New Roman"/>
        </w:rPr>
        <w:t xml:space="preserve"> </w:t>
      </w:r>
      <w:r>
        <w:rPr>
          <w:rFonts w:ascii="Times New Roman" w:hAnsi="Times New Roman"/>
        </w:rPr>
        <w:t xml:space="preserve"> The companies and the union (with the government in the background but not disconnected) struggled to reform work relationships and the relationships between the industry and society in order to succeed in the changed market environment.  </w:t>
      </w:r>
      <w:r w:rsidRPr="00C442CE">
        <w:rPr>
          <w:rFonts w:ascii="Times New Roman" w:hAnsi="Times New Roman"/>
        </w:rPr>
        <w:t>By the time that th</w:t>
      </w:r>
      <w:r>
        <w:rPr>
          <w:rFonts w:ascii="Times New Roman" w:hAnsi="Times New Roman"/>
        </w:rPr>
        <w:t>e Bush administration</w:t>
      </w:r>
      <w:r w:rsidRPr="00C442CE">
        <w:rPr>
          <w:rFonts w:ascii="Times New Roman" w:hAnsi="Times New Roman"/>
        </w:rPr>
        <w:t xml:space="preserve"> bailed out G.M. and Chrysler</w:t>
      </w:r>
      <w:r>
        <w:rPr>
          <w:rFonts w:ascii="Times New Roman" w:hAnsi="Times New Roman"/>
        </w:rPr>
        <w:t xml:space="preserve"> in December 2008</w:t>
      </w:r>
      <w:r w:rsidRPr="00C442CE">
        <w:rPr>
          <w:rFonts w:ascii="Times New Roman" w:hAnsi="Times New Roman"/>
        </w:rPr>
        <w:t>, the companies’ managers and unionized employees had already made dramatic improvements in manufacturing practice</w:t>
      </w:r>
      <w:r>
        <w:rPr>
          <w:rFonts w:ascii="Times New Roman" w:hAnsi="Times New Roman"/>
        </w:rPr>
        <w:t>, but there were seemingly intractable problems of internal authority in the companies that blocked reform coalitions from carrying through change successfully.  In this context, t</w:t>
      </w:r>
      <w:r w:rsidRPr="00C442CE">
        <w:rPr>
          <w:rFonts w:ascii="Times New Roman" w:hAnsi="Times New Roman"/>
        </w:rPr>
        <w:t>he auto rescue</w:t>
      </w:r>
      <w:r>
        <w:rPr>
          <w:rFonts w:ascii="Times New Roman" w:hAnsi="Times New Roman"/>
        </w:rPr>
        <w:t xml:space="preserve"> by the Obama administration</w:t>
      </w:r>
      <w:r w:rsidRPr="00C442CE">
        <w:rPr>
          <w:rFonts w:ascii="Times New Roman" w:hAnsi="Times New Roman"/>
        </w:rPr>
        <w:t xml:space="preserve"> was less about the exogenous forces of global </w:t>
      </w:r>
      <w:r w:rsidRPr="00C442CE">
        <w:rPr>
          <w:rFonts w:ascii="Times New Roman" w:hAnsi="Times New Roman"/>
        </w:rPr>
        <w:lastRenderedPageBreak/>
        <w:t>market competition and a controlling state and more about the accession of a knowing political coalition that empowered the reformers to pursue their goals.  The institutional presidency was an important resource for the U.S. auto industry’s adaptation.</w:t>
      </w:r>
      <w:r w:rsidRPr="00C442CE">
        <w:rPr>
          <w:rStyle w:val="EndnoteReference"/>
          <w:rFonts w:ascii="Times New Roman" w:hAnsi="Times New Roman"/>
        </w:rPr>
        <w:endnoteReference w:id="14"/>
      </w:r>
    </w:p>
    <w:p w:rsidR="00990B0D" w:rsidRPr="00C442CE" w:rsidRDefault="00990B0D" w:rsidP="00990B0D">
      <w:pPr>
        <w:spacing w:line="480" w:lineRule="auto"/>
        <w:ind w:firstLine="720"/>
        <w:rPr>
          <w:rFonts w:ascii="Times New Roman" w:hAnsi="Times New Roman"/>
        </w:rPr>
      </w:pPr>
      <w:r>
        <w:rPr>
          <w:sz w:val="22"/>
          <w:szCs w:val="22"/>
        </w:rPr>
        <w:t xml:space="preserve">One key part of the transformation of work has to do with the specific ways that workers and managers interact and another has to do with the relationships between the industry and the broader society.  Let me sketch the development in each dimension. </w:t>
      </w:r>
      <w:r w:rsidRPr="00C442CE">
        <w:rPr>
          <w:rFonts w:ascii="Times New Roman" w:hAnsi="Times New Roman"/>
        </w:rPr>
        <w:t>Auto workers and managers always were cognizant in the pursuit of their projects.  During the mid-20</w:t>
      </w:r>
      <w:r w:rsidRPr="00C442CE">
        <w:rPr>
          <w:rFonts w:ascii="Times New Roman" w:hAnsi="Times New Roman"/>
          <w:vertAlign w:val="superscript"/>
        </w:rPr>
        <w:t>th</w:t>
      </w:r>
      <w:r w:rsidRPr="00C442CE">
        <w:rPr>
          <w:rFonts w:ascii="Times New Roman" w:hAnsi="Times New Roman"/>
        </w:rPr>
        <w:t xml:space="preserve"> century the core institution of auto governance was pluralist labor-management relations.  The operation of pluralism depended on stable political background conditions that included inter-regional alliances cemented by Democratic Party dominance of Congress and by the leading position of the U.S. in the world financial system. </w:t>
      </w:r>
      <w:r w:rsidRPr="00C442CE">
        <w:rPr>
          <w:rStyle w:val="EndnoteReference"/>
          <w:rFonts w:ascii="Times New Roman" w:hAnsi="Times New Roman"/>
        </w:rPr>
        <w:endnoteReference w:id="15"/>
      </w:r>
      <w:r w:rsidRPr="00C442CE">
        <w:rPr>
          <w:rFonts w:ascii="Times New Roman" w:hAnsi="Times New Roman"/>
        </w:rPr>
        <w:t xml:space="preserve">  Auto managers, union leaders, workers, industrial relations experts, government regulators, members of Congress, and others all were engaged in various ways in managing the industry during a long course of profitable development from the 1930’s to the 1980’s.  But the production system was fragile rather than robust because the primary players who worked directly for the companies could not control the boundary conditions that otherwise seemed to promise stable relationships and growth. They always assessed their options for improving their performance vis-à-vis each other and in the marketplace. The interactions between governing institutions, organization relationships, and individual action are complex and require vision and choice in everyday life.</w:t>
      </w:r>
    </w:p>
    <w:p w:rsidR="00990B0D" w:rsidRPr="00C442CE" w:rsidRDefault="00990B0D" w:rsidP="00990B0D">
      <w:pPr>
        <w:spacing w:line="480" w:lineRule="auto"/>
        <w:ind w:firstLine="720"/>
        <w:rPr>
          <w:rFonts w:ascii="Times New Roman" w:hAnsi="Times New Roman"/>
        </w:rPr>
      </w:pPr>
      <w:r w:rsidRPr="00C442CE">
        <w:rPr>
          <w:rFonts w:ascii="Times New Roman" w:hAnsi="Times New Roman"/>
        </w:rPr>
        <w:t xml:space="preserve">The dominant orientation for the primary agents was the image of mass production, which facilitated their relationships and gave meaning to their actions. The common orientation supplied knowledge about how production was organized, a shared language of auto work, a habitual rhythm to hourly, daily and yearly work cycles and </w:t>
      </w:r>
      <w:r w:rsidRPr="00C442CE">
        <w:rPr>
          <w:rFonts w:ascii="Times New Roman" w:hAnsi="Times New Roman"/>
        </w:rPr>
        <w:lastRenderedPageBreak/>
        <w:t xml:space="preserve">contract terms, and expectations about the similarity of condition and action across companies in the industry. There was an appropriate organization for the factory, clearly marked roles, and obvious performance metrics.  These relationships were codified by rules, but the stability of relationships required effort and renewal because boundary conditions were much less amenable to such organizational control. </w:t>
      </w:r>
    </w:p>
    <w:p w:rsidR="00990B0D" w:rsidRPr="00C442CE" w:rsidRDefault="00990B0D" w:rsidP="00990B0D">
      <w:pPr>
        <w:spacing w:line="480" w:lineRule="auto"/>
        <w:ind w:firstLine="720"/>
        <w:rPr>
          <w:rFonts w:ascii="Times New Roman" w:hAnsi="Times New Roman"/>
        </w:rPr>
      </w:pPr>
      <w:r w:rsidRPr="00C442CE">
        <w:rPr>
          <w:rFonts w:ascii="Times New Roman" w:hAnsi="Times New Roman"/>
        </w:rPr>
        <w:t>Thus mass production was taken to be characterized by certain facts of technology and economies of scale that required bureaucratic hierarchy, extreme task specialization, and strict control of the pace of production.  Each employee’s role was regulated by rules that described precisely what each of thousands of jobs entailed, how the jobs were linked with one another for purposes of promotion and layoff, what pay rates applied, and many other conditions of specific workshops. In the logic of orientation, operational decisions were reserved to managers and the union had no say in decisions about technology, product strategies, supplier relationships, marketing, and investment. The evaluation of a worker’s performance was driven by the overriding fact that the integrated quality of production diminished individual contributions to car building. National contracts specified annual increases in everyone’s wages through cost of living allowances and productivity gain-sharing.  Health and pension benefits were piggy-backed on national tax and welfare policies.</w:t>
      </w:r>
      <w:r w:rsidRPr="00C442CE">
        <w:rPr>
          <w:rStyle w:val="EndnoteReference"/>
          <w:rFonts w:ascii="Times New Roman" w:hAnsi="Times New Roman"/>
        </w:rPr>
        <w:endnoteReference w:id="16"/>
      </w:r>
      <w:r w:rsidRPr="00C442CE">
        <w:rPr>
          <w:rFonts w:ascii="Times New Roman" w:hAnsi="Times New Roman"/>
        </w:rPr>
        <w:t xml:space="preserve"> The wage and work rules stabilized factory life and contributed to the companies’ ability to realize volume sales to sovereign consumers.</w:t>
      </w:r>
      <w:r w:rsidRPr="00C442CE">
        <w:rPr>
          <w:rStyle w:val="EndnoteReference"/>
          <w:rFonts w:ascii="Times New Roman" w:hAnsi="Times New Roman"/>
        </w:rPr>
        <w:endnoteReference w:id="17"/>
      </w:r>
      <w:r w:rsidRPr="00C442CE">
        <w:rPr>
          <w:rFonts w:ascii="Times New Roman" w:hAnsi="Times New Roman"/>
        </w:rPr>
        <w:t xml:space="preserve">  </w:t>
      </w:r>
    </w:p>
    <w:p w:rsidR="00990B0D" w:rsidRPr="00C442CE" w:rsidRDefault="00990B0D" w:rsidP="00990B0D">
      <w:pPr>
        <w:spacing w:line="480" w:lineRule="auto"/>
        <w:ind w:firstLine="720"/>
        <w:rPr>
          <w:rFonts w:ascii="Times New Roman" w:hAnsi="Times New Roman"/>
        </w:rPr>
      </w:pPr>
      <w:r w:rsidRPr="00C442CE">
        <w:rPr>
          <w:rFonts w:ascii="Times New Roman" w:hAnsi="Times New Roman"/>
        </w:rPr>
        <w:t xml:space="preserve">These routines depended on the actions of many others beyond the factory. Fiscal and monetary policies underwrote increasing incomes for consumers at large, but they did not end business cycles and specific policy debates.  The NLRB managed the union </w:t>
      </w:r>
      <w:r w:rsidRPr="00C442CE">
        <w:rPr>
          <w:rFonts w:ascii="Times New Roman" w:hAnsi="Times New Roman"/>
        </w:rPr>
        <w:lastRenderedPageBreak/>
        <w:t>duty of fair representation in cases of race discrimination and the right of employees not to join a union.</w:t>
      </w:r>
      <w:r w:rsidRPr="00C442CE">
        <w:rPr>
          <w:rStyle w:val="EndnoteReference"/>
          <w:rFonts w:ascii="Times New Roman" w:hAnsi="Times New Roman"/>
        </w:rPr>
        <w:endnoteReference w:id="18"/>
      </w:r>
      <w:r w:rsidRPr="00C442CE">
        <w:rPr>
          <w:rFonts w:ascii="Times New Roman" w:hAnsi="Times New Roman"/>
        </w:rPr>
        <w:t xml:space="preserve"> The U.S. strategy of global hegemony defined domestic consensus, but it also committed the U.S. to large foreign military expenditures and unequal trade relations, which created chronic monetary and trade problems.  Increasing returns to scale led to rising industrial concentration and dislocated workers.  Union wages created disparity between those in the core firms and those on the margins, many of whom were members of minority groups and southerners, while guaranteed wages in the core contributed to inflation.</w:t>
      </w:r>
      <w:r w:rsidRPr="00C442CE">
        <w:rPr>
          <w:rStyle w:val="EndnoteReference"/>
          <w:rFonts w:ascii="Times New Roman" w:hAnsi="Times New Roman"/>
        </w:rPr>
        <w:endnoteReference w:id="19"/>
      </w:r>
      <w:r w:rsidRPr="00C442CE">
        <w:rPr>
          <w:rFonts w:ascii="Times New Roman" w:hAnsi="Times New Roman"/>
        </w:rPr>
        <w:t xml:space="preserve"> Wage-price inflation aggravated the pursuit of the U.S. role in the world.  So, throughout the 1960’s Democratic administrations intervened in collective bargaining negotiations and corporate price-making, imposed capital controls, and manipulated government commodity inventories and wage and hour rules. </w:t>
      </w:r>
    </w:p>
    <w:p w:rsidR="00990B0D" w:rsidRPr="00C442CE" w:rsidRDefault="00990B0D" w:rsidP="00990B0D">
      <w:pPr>
        <w:spacing w:line="480" w:lineRule="auto"/>
        <w:ind w:firstLine="720"/>
        <w:rPr>
          <w:rFonts w:ascii="Times New Roman" w:hAnsi="Times New Roman"/>
        </w:rPr>
      </w:pPr>
      <w:r w:rsidRPr="00C442CE">
        <w:rPr>
          <w:rFonts w:ascii="Times New Roman" w:hAnsi="Times New Roman"/>
        </w:rPr>
        <w:t>The performance metrics in the industry also had characteristic problems that stimulated a search for modifications.  Workers were ensconced in a bureaucratic hierarchy that discouraged their individual contributions, diluted craft skills, and undermined consent. Workers were pressed to work quickly to achieve volume; slowing-down to ensure a better product could be penalized.  The situated nature of consent was revealed when workers stopped working during strikes.  The U.A.W. bargained for time away from work – vacations, personal days off, voluntary overtime, early retirement, and generous attendance rules – and it collaborated with university experts and managers to implement “quality of work life” programs in the 1970’s based on behavioral theories of the firm in order to humanize work and improve job satisfaction.</w:t>
      </w:r>
      <w:r w:rsidRPr="00C442CE">
        <w:rPr>
          <w:rStyle w:val="EndnoteReference"/>
          <w:rFonts w:ascii="Times New Roman" w:hAnsi="Times New Roman"/>
        </w:rPr>
        <w:endnoteReference w:id="20"/>
      </w:r>
      <w:r w:rsidRPr="00C442CE">
        <w:rPr>
          <w:rFonts w:ascii="Times New Roman" w:hAnsi="Times New Roman"/>
        </w:rPr>
        <w:t xml:space="preserve"> </w:t>
      </w:r>
    </w:p>
    <w:p w:rsidR="00990B0D" w:rsidRPr="00C442CE" w:rsidRDefault="00990B0D" w:rsidP="00990B0D">
      <w:pPr>
        <w:spacing w:line="480" w:lineRule="auto"/>
        <w:ind w:firstLine="720"/>
        <w:rPr>
          <w:rFonts w:ascii="Times New Roman" w:hAnsi="Times New Roman"/>
        </w:rPr>
      </w:pPr>
      <w:r w:rsidRPr="00C442CE">
        <w:rPr>
          <w:rFonts w:ascii="Times New Roman" w:hAnsi="Times New Roman"/>
        </w:rPr>
        <w:t xml:space="preserve">In short, workers, unions and managers collaborated to fashion the practical meaning of </w:t>
      </w:r>
      <w:proofErr w:type="spellStart"/>
      <w:r w:rsidRPr="00C442CE">
        <w:rPr>
          <w:rFonts w:ascii="Times New Roman" w:hAnsi="Times New Roman"/>
        </w:rPr>
        <w:t>Fordism</w:t>
      </w:r>
      <w:proofErr w:type="spellEnd"/>
      <w:r w:rsidRPr="00C442CE">
        <w:rPr>
          <w:rFonts w:ascii="Times New Roman" w:hAnsi="Times New Roman"/>
        </w:rPr>
        <w:t xml:space="preserve"> to enable the auto companies to profit and autoworkers to make a </w:t>
      </w:r>
      <w:r w:rsidRPr="00C442CE">
        <w:rPr>
          <w:rFonts w:ascii="Times New Roman" w:hAnsi="Times New Roman"/>
        </w:rPr>
        <w:lastRenderedPageBreak/>
        <w:t xml:space="preserve">good living.  But in the late 1970’s the Japanese auto import surge began. The U.S. companies began to miss their performance targets and Chrysler was saved from bankruptcy by a federal bailout in January 1980.  </w:t>
      </w:r>
    </w:p>
    <w:p w:rsidR="00990B0D" w:rsidRPr="00C442CE" w:rsidRDefault="00990B0D" w:rsidP="00990B0D">
      <w:pPr>
        <w:spacing w:line="480" w:lineRule="auto"/>
        <w:ind w:firstLine="720"/>
        <w:rPr>
          <w:rFonts w:ascii="Times New Roman" w:hAnsi="Times New Roman"/>
        </w:rPr>
      </w:pPr>
      <w:r w:rsidRPr="00C442CE">
        <w:rPr>
          <w:rFonts w:ascii="Times New Roman" w:hAnsi="Times New Roman"/>
        </w:rPr>
        <w:t>The newly competitive automobile market is associated with the success of the “lean” Toyota Production System (TPS).  In lean production, a company orchestrates collaborations among a network of suppliers in a disciplined process of tightly coordinated manufacturing and continuous improvement.</w:t>
      </w:r>
      <w:r w:rsidRPr="00C442CE">
        <w:rPr>
          <w:rStyle w:val="EndnoteReference"/>
          <w:rFonts w:ascii="Times New Roman" w:hAnsi="Times New Roman"/>
        </w:rPr>
        <w:t xml:space="preserve"> </w:t>
      </w:r>
      <w:r w:rsidRPr="00C442CE">
        <w:rPr>
          <w:rStyle w:val="EndnoteReference"/>
          <w:rFonts w:ascii="Times New Roman" w:hAnsi="Times New Roman"/>
        </w:rPr>
        <w:endnoteReference w:id="21"/>
      </w:r>
      <w:r w:rsidRPr="00C442CE">
        <w:rPr>
          <w:rFonts w:ascii="Times New Roman" w:hAnsi="Times New Roman"/>
        </w:rPr>
        <w:t xml:space="preserve"> Firms’ hierarchies are flatter – there are fewer managers and white collar staff – and production workers have greater responsibilities for product flow and quality.</w:t>
      </w:r>
      <w:r w:rsidRPr="00C442CE">
        <w:rPr>
          <w:rStyle w:val="EndnoteReference"/>
          <w:rFonts w:ascii="Times New Roman" w:hAnsi="Times New Roman"/>
        </w:rPr>
        <w:t xml:space="preserve"> </w:t>
      </w:r>
      <w:r w:rsidRPr="00C442CE">
        <w:rPr>
          <w:rStyle w:val="EndnoteReference"/>
          <w:rFonts w:ascii="Times New Roman" w:hAnsi="Times New Roman"/>
        </w:rPr>
        <w:endnoteReference w:id="22"/>
      </w:r>
      <w:r w:rsidRPr="00C442CE">
        <w:rPr>
          <w:rFonts w:ascii="Times New Roman" w:hAnsi="Times New Roman"/>
        </w:rPr>
        <w:t xml:space="preserve">  Toyota promises to create a work environment that enables employees to be the most productive of the highest quality product they can.  The goal is “reliability of delivery rather than sheer volume”. </w:t>
      </w:r>
      <w:r w:rsidRPr="00C442CE">
        <w:rPr>
          <w:rStyle w:val="EndnoteReference"/>
          <w:rFonts w:ascii="Times New Roman" w:hAnsi="Times New Roman"/>
        </w:rPr>
        <w:endnoteReference w:id="23"/>
      </w:r>
      <w:r w:rsidRPr="00C442CE">
        <w:rPr>
          <w:rFonts w:ascii="Times New Roman" w:hAnsi="Times New Roman"/>
        </w:rPr>
        <w:t xml:space="preserve">  When Toyota began to manufacture in the U.S., it started to modify its system and integrate the company’s principles of manufacturing with practices that American workers and managers were used to.</w:t>
      </w:r>
      <w:r w:rsidRPr="00C442CE">
        <w:rPr>
          <w:rStyle w:val="EndnoteReference"/>
          <w:rFonts w:ascii="Times New Roman" w:hAnsi="Times New Roman"/>
        </w:rPr>
        <w:endnoteReference w:id="24"/>
      </w:r>
      <w:r w:rsidRPr="00C442CE">
        <w:rPr>
          <w:rFonts w:ascii="Times New Roman" w:hAnsi="Times New Roman"/>
        </w:rPr>
        <w:t xml:space="preserve"> </w:t>
      </w:r>
    </w:p>
    <w:p w:rsidR="00015C4F" w:rsidRDefault="00990B0D" w:rsidP="00990B0D">
      <w:pPr>
        <w:spacing w:line="480" w:lineRule="auto"/>
        <w:rPr>
          <w:sz w:val="22"/>
          <w:szCs w:val="22"/>
        </w:rPr>
      </w:pPr>
      <w:r>
        <w:rPr>
          <w:sz w:val="22"/>
          <w:szCs w:val="22"/>
        </w:rPr>
        <w:tab/>
        <w:t xml:space="preserve">A key difference in the factory is the conception of the role of the workers.  As pragmatist analysis predicts – for both mass production and lean production alike – the real work of manufacturing requires problem-solving skills at every level.  The </w:t>
      </w:r>
      <w:proofErr w:type="spellStart"/>
      <w:r>
        <w:rPr>
          <w:sz w:val="22"/>
          <w:szCs w:val="22"/>
        </w:rPr>
        <w:t>Fordist</w:t>
      </w:r>
      <w:proofErr w:type="spellEnd"/>
      <w:r>
        <w:rPr>
          <w:sz w:val="22"/>
          <w:szCs w:val="22"/>
        </w:rPr>
        <w:t xml:space="preserve"> concept supposed that bureaucratic hierarchy was sufficient for the efficient operation of a factory when, in fact, the limits of standardization of work were constantly met by the need for blue-collar workers to lend a hand and for the union and managers to evolve a system of problem-solving.  In the Lean Production concept, the implicit knowledge of the employees is brought out explicitly in a new work design that empowers workers to contribute to problem-solving in a systematic way.  </w:t>
      </w:r>
      <w:r w:rsidR="009819D9">
        <w:rPr>
          <w:sz w:val="22"/>
          <w:szCs w:val="22"/>
        </w:rPr>
        <w:t xml:space="preserve">This explicit problem-solving involves the creation of teams across work groups and across hierarchies of roles, information sharing, </w:t>
      </w:r>
      <w:r w:rsidR="009819D9">
        <w:rPr>
          <w:sz w:val="22"/>
          <w:szCs w:val="22"/>
        </w:rPr>
        <w:lastRenderedPageBreak/>
        <w:t xml:space="preserve">identification and investigation of problems, and greater responsibility by each agent for their contribution to the project rather than post-hoc accountability for results. The capacity for problem-solving is in the focus on joint determination to hone in on actual work problems – and to follow or create the factual basis for wider perspective when necessary to deal with them.  A certain craft-like ability to improvise in non-standard situations is prized.  These are all features of an organization for social learning, according to pragmatists. </w:t>
      </w:r>
      <w:r w:rsidR="009819D9">
        <w:rPr>
          <w:rStyle w:val="EndnoteReference"/>
          <w:sz w:val="22"/>
          <w:szCs w:val="22"/>
        </w:rPr>
        <w:endnoteReference w:id="25"/>
      </w:r>
      <w:r w:rsidR="009819D9">
        <w:rPr>
          <w:sz w:val="22"/>
          <w:szCs w:val="22"/>
        </w:rPr>
        <w:t xml:space="preserve">  Something like a learning organization is what the reformers in the Detroit Three were trying to create in emulation of their understanding of the “best practices” in the sector. </w:t>
      </w:r>
    </w:p>
    <w:p w:rsidR="00964967" w:rsidRDefault="009819D9" w:rsidP="00990B0D">
      <w:pPr>
        <w:spacing w:line="480" w:lineRule="auto"/>
        <w:rPr>
          <w:sz w:val="22"/>
          <w:szCs w:val="22"/>
        </w:rPr>
      </w:pPr>
      <w:r>
        <w:rPr>
          <w:sz w:val="22"/>
          <w:szCs w:val="22"/>
        </w:rPr>
        <w:tab/>
        <w:t xml:space="preserve">The ability of reformers in the UAW and the companies to orchestrate a jazz-like production was complicated and contested and showed remarkable determination for over twenty years.  The furthest extent of the transformation was the joint venture of G.M. and the UAW at Saturn.  </w:t>
      </w:r>
      <w:r w:rsidR="00964967">
        <w:rPr>
          <w:sz w:val="22"/>
          <w:szCs w:val="22"/>
        </w:rPr>
        <w:t xml:space="preserve">Yet </w:t>
      </w:r>
      <w:r>
        <w:rPr>
          <w:sz w:val="22"/>
          <w:szCs w:val="22"/>
        </w:rPr>
        <w:t xml:space="preserve">Saturn also demonstrates the limits of reform within the company and union because, despite widely documented success in manufacturing performance, product quality, and consumer acceptance, G.M. underfunded the project </w:t>
      </w:r>
      <w:r w:rsidR="003111AE">
        <w:rPr>
          <w:sz w:val="22"/>
          <w:szCs w:val="22"/>
        </w:rPr>
        <w:t xml:space="preserve">by the mid-1990’s </w:t>
      </w:r>
      <w:r>
        <w:rPr>
          <w:sz w:val="22"/>
          <w:szCs w:val="22"/>
        </w:rPr>
        <w:t>and the UAW shifted its focus to</w:t>
      </w:r>
      <w:r w:rsidR="003111AE">
        <w:rPr>
          <w:sz w:val="22"/>
          <w:szCs w:val="22"/>
        </w:rPr>
        <w:t xml:space="preserve"> the crisis of</w:t>
      </w:r>
      <w:r>
        <w:rPr>
          <w:sz w:val="22"/>
          <w:szCs w:val="22"/>
        </w:rPr>
        <w:t xml:space="preserve"> immediate job retention.  </w:t>
      </w:r>
      <w:r w:rsidR="003111AE">
        <w:rPr>
          <w:sz w:val="22"/>
          <w:szCs w:val="22"/>
        </w:rPr>
        <w:t xml:space="preserve">The corporate leadership </w:t>
      </w:r>
      <w:r w:rsidR="00964967">
        <w:rPr>
          <w:sz w:val="22"/>
          <w:szCs w:val="22"/>
        </w:rPr>
        <w:t xml:space="preserve">ultimately sought a solution to G.M.’s competitive problems in massive investment in technology, fostering price competition among its suppliers, and avoiding head-to-head competition in the car segment of the market by switching to trucks and SUVs. But this strategy almost bankrupted the company in 2008, only saved by Bush’s bailout from liquidation. </w:t>
      </w:r>
    </w:p>
    <w:p w:rsidR="00964967" w:rsidRDefault="00964967" w:rsidP="00990B0D">
      <w:pPr>
        <w:spacing w:line="480" w:lineRule="auto"/>
        <w:rPr>
          <w:sz w:val="22"/>
          <w:szCs w:val="22"/>
        </w:rPr>
      </w:pPr>
      <w:r>
        <w:rPr>
          <w:sz w:val="22"/>
          <w:szCs w:val="22"/>
        </w:rPr>
        <w:tab/>
        <w:t xml:space="preserve">The second dimension of the transformation, then, had to do with new leadership and a new relationship between the industry and society.  The Obama administration came into office with the bailout step already taken, but it was determined to remake the industry, to no longer “kick the can down the road” as the President put it.  How could the </w:t>
      </w:r>
      <w:r>
        <w:rPr>
          <w:sz w:val="22"/>
          <w:szCs w:val="22"/>
        </w:rPr>
        <w:lastRenderedPageBreak/>
        <w:t xml:space="preserve">administration do this?  In brief, Obama created an Auto Task Force that drew upon assets in his political coalition that included the networks of financial expertise and management consulting experience that had grown up during the previous decades of crisis for American manufacturing (under neo-liberal policy regime). </w:t>
      </w:r>
    </w:p>
    <w:p w:rsidR="00964967" w:rsidRDefault="00964967" w:rsidP="00990B0D">
      <w:pPr>
        <w:spacing w:line="480" w:lineRule="auto"/>
        <w:rPr>
          <w:sz w:val="22"/>
          <w:szCs w:val="22"/>
        </w:rPr>
      </w:pPr>
    </w:p>
    <w:p w:rsidR="00A96BA9" w:rsidRDefault="00A96BA9" w:rsidP="00A96BA9">
      <w:pPr>
        <w:spacing w:line="480" w:lineRule="auto"/>
        <w:rPr>
          <w:rFonts w:ascii="Times New Roman" w:hAnsi="Times New Roman"/>
        </w:rPr>
      </w:pPr>
    </w:p>
    <w:p w:rsidR="0033654E" w:rsidRDefault="0033654E" w:rsidP="0033654E">
      <w:pPr>
        <w:spacing w:line="480" w:lineRule="auto"/>
        <w:ind w:firstLine="720"/>
        <w:rPr>
          <w:rFonts w:ascii="Times New Roman" w:hAnsi="Times New Roman"/>
        </w:rPr>
      </w:pPr>
      <w:r w:rsidRPr="00C442CE">
        <w:rPr>
          <w:rFonts w:ascii="Times New Roman" w:hAnsi="Times New Roman"/>
        </w:rPr>
        <w:t xml:space="preserve">The administration connected itself with the industry by employing individuals at its Auto Task Force who were familiar with the debates about industrial relations, corporate governance, and industry restructuring—the practical discourses of organizational life.  It narrated a new history that contrasted selected past practices with current performance and with superior practices demonstrated by more successful organizations, such as Toyota. The administration engaged some parts of the primary agents’ common project—the manufacture of cars for a profit and a livelihood—and brought new authority for changes in the rules of play into the discussion. The administration had the authority to be there and compel other agents to participate, but it announced it would lead rather than command. </w:t>
      </w:r>
    </w:p>
    <w:p w:rsidR="0033654E" w:rsidRPr="00C442CE" w:rsidRDefault="0033654E" w:rsidP="0033654E">
      <w:pPr>
        <w:autoSpaceDE w:val="0"/>
        <w:autoSpaceDN w:val="0"/>
        <w:adjustRightInd w:val="0"/>
        <w:spacing w:line="480" w:lineRule="auto"/>
        <w:ind w:firstLine="720"/>
        <w:rPr>
          <w:rFonts w:ascii="Times New Roman" w:hAnsi="Times New Roman"/>
          <w:lang w:eastAsia="da-DK"/>
        </w:rPr>
      </w:pPr>
      <w:r w:rsidRPr="00C442CE">
        <w:rPr>
          <w:rFonts w:ascii="Times New Roman" w:hAnsi="Times New Roman"/>
        </w:rPr>
        <w:t>Workers and plant managers had shown that they could adapt lean production techniques, but the commitment of corporate leadership was still problematic. The quality argument became incised in the cost reduction plan of the Auto Task Force.</w:t>
      </w:r>
      <w:r w:rsidRPr="00C442CE">
        <w:rPr>
          <w:rStyle w:val="EndnoteReference"/>
          <w:rFonts w:ascii="Times New Roman" w:hAnsi="Times New Roman"/>
          <w:color w:val="000000"/>
        </w:rPr>
        <w:endnoteReference w:id="26"/>
      </w:r>
      <w:r w:rsidRPr="00C442CE">
        <w:rPr>
          <w:rFonts w:ascii="Times New Roman" w:hAnsi="Times New Roman"/>
          <w:color w:val="000000"/>
        </w:rPr>
        <w:t xml:space="preserve">  </w:t>
      </w:r>
      <w:r w:rsidRPr="00C442CE">
        <w:rPr>
          <w:rFonts w:ascii="Times New Roman" w:hAnsi="Times New Roman"/>
        </w:rPr>
        <w:t xml:space="preserve">Product and process quality was a goal of teamwork among workers and managers, manufacturers and suppliers. The administration replaced top managers, invested in suppliers, and placed limits on outsourcing. </w:t>
      </w:r>
      <w:r w:rsidRPr="00C442CE">
        <w:rPr>
          <w:rStyle w:val="EndnoteReference"/>
          <w:rFonts w:ascii="Times New Roman" w:hAnsi="Times New Roman"/>
        </w:rPr>
        <w:endnoteReference w:id="27"/>
      </w:r>
      <w:r w:rsidRPr="00C442CE">
        <w:rPr>
          <w:rFonts w:ascii="Times New Roman" w:hAnsi="Times New Roman"/>
        </w:rPr>
        <w:t xml:space="preserve"> </w:t>
      </w:r>
    </w:p>
    <w:p w:rsidR="00A96BA9" w:rsidRDefault="00A96BA9" w:rsidP="0033654E">
      <w:pPr>
        <w:spacing w:line="480" w:lineRule="auto"/>
        <w:ind w:firstLine="720"/>
        <w:contextualSpacing/>
        <w:rPr>
          <w:rFonts w:ascii="Times New Roman" w:hAnsi="Times New Roman"/>
        </w:rPr>
      </w:pPr>
    </w:p>
    <w:p w:rsidR="0033654E" w:rsidRPr="00C442CE" w:rsidRDefault="0033654E" w:rsidP="0033654E">
      <w:pPr>
        <w:spacing w:line="480" w:lineRule="auto"/>
        <w:ind w:firstLine="720"/>
        <w:contextualSpacing/>
        <w:rPr>
          <w:rFonts w:ascii="Times New Roman" w:hAnsi="Times New Roman"/>
        </w:rPr>
      </w:pPr>
      <w:r w:rsidRPr="00C442CE">
        <w:rPr>
          <w:rFonts w:ascii="Times New Roman" w:hAnsi="Times New Roman"/>
        </w:rPr>
        <w:lastRenderedPageBreak/>
        <w:t xml:space="preserve">When Obama stipulated that best practice was the non-union auto companies in the American south, it may have seemed to abandon the New Dealers’ commitment to pluralist industrial development, but this was not a simple vindication of the old south’s unitary management.  Instead, the meaning of the regional differences was given a new interpretation by Obama because his administration articulated a different lesson from the crisis. It was not the southern employers but the Japanese who perfected the bundle of manufacturing techniques that create high performance work organizations.  When Obama emphasized a new spirit of factory teamwork to satisfy public needs, this was no acceptance of the New Deal binary but, instead, something </w:t>
      </w:r>
      <w:proofErr w:type="gramStart"/>
      <w:r w:rsidRPr="00C442CE">
        <w:rPr>
          <w:rFonts w:ascii="Times New Roman" w:hAnsi="Times New Roman"/>
        </w:rPr>
        <w:t>like</w:t>
      </w:r>
      <w:proofErr w:type="gramEnd"/>
      <w:r w:rsidRPr="00C442CE">
        <w:rPr>
          <w:rFonts w:ascii="Times New Roman" w:hAnsi="Times New Roman"/>
        </w:rPr>
        <w:t xml:space="preserve"> the transcendence of it.</w:t>
      </w:r>
      <w:r w:rsidRPr="00C442CE">
        <w:rPr>
          <w:rStyle w:val="EndnoteReference"/>
          <w:rFonts w:ascii="Times New Roman" w:hAnsi="Times New Roman"/>
        </w:rPr>
        <w:endnoteReference w:id="28"/>
      </w:r>
      <w:r w:rsidRPr="00C442CE">
        <w:rPr>
          <w:rFonts w:ascii="Times New Roman" w:hAnsi="Times New Roman"/>
        </w:rPr>
        <w:t xml:space="preserve">  Teamwork is a challenge to G.M. and the U.A.W., but it is also a challenge to historical southern social and labor institutions and the companies that have grown up under their protection.</w:t>
      </w:r>
    </w:p>
    <w:p w:rsidR="00DB47A4" w:rsidRPr="00C442CE" w:rsidRDefault="00DB47A4" w:rsidP="00DB47A4">
      <w:pPr>
        <w:spacing w:line="480" w:lineRule="auto"/>
        <w:ind w:firstLine="720"/>
        <w:rPr>
          <w:rFonts w:ascii="Times New Roman" w:hAnsi="Times New Roman"/>
        </w:rPr>
      </w:pPr>
      <w:r w:rsidRPr="00C442CE">
        <w:rPr>
          <w:rFonts w:ascii="Times New Roman" w:eastAsia="Times New Roman" w:hAnsi="Times New Roman"/>
          <w:lang w:eastAsia="da-DK"/>
        </w:rPr>
        <w:t>The White House helped the companies fulfill what the Detroit 3 had not been able to accomplish alone.  The Task Force drew upon the new expertise in industry restructuring that had developed since the 1970’s in management consulting, investment and private equity banking, university research centers, and think tanks and it had the political leverage to make those knowledge resources available to the industry agents who were willing to become partners to achieve their goals.</w:t>
      </w:r>
    </w:p>
    <w:p w:rsidR="00DB47A4" w:rsidRPr="00C442CE" w:rsidRDefault="00DB47A4" w:rsidP="00DB47A4">
      <w:pPr>
        <w:spacing w:line="480" w:lineRule="auto"/>
        <w:ind w:firstLine="720"/>
        <w:rPr>
          <w:rFonts w:ascii="Times New Roman" w:hAnsi="Times New Roman"/>
        </w:rPr>
      </w:pPr>
      <w:r w:rsidRPr="00C442CE">
        <w:rPr>
          <w:rFonts w:ascii="Times New Roman" w:eastAsia="Times New Roman" w:hAnsi="Times New Roman"/>
          <w:lang w:eastAsia="da-DK"/>
        </w:rPr>
        <w:t>The Auto Task Force did not run the factories or pick products and set their prices, but an internal report advised the President that it would be deeply involved in picking the leadership teams in the companies.</w:t>
      </w:r>
      <w:r w:rsidRPr="00C442CE">
        <w:rPr>
          <w:rStyle w:val="EndnoteReference"/>
          <w:rFonts w:ascii="Times New Roman" w:eastAsia="Times New Roman" w:hAnsi="Times New Roman"/>
          <w:lang w:eastAsia="da-DK"/>
        </w:rPr>
        <w:endnoteReference w:id="29"/>
      </w:r>
      <w:r w:rsidRPr="00C442CE">
        <w:rPr>
          <w:rFonts w:ascii="Times New Roman" w:eastAsia="Times New Roman" w:hAnsi="Times New Roman"/>
          <w:lang w:eastAsia="da-DK"/>
        </w:rPr>
        <w:t xml:space="preserve"> </w:t>
      </w:r>
    </w:p>
    <w:p w:rsidR="00DB47A4" w:rsidRPr="00C442CE" w:rsidRDefault="00DB47A4" w:rsidP="00DB47A4">
      <w:pPr>
        <w:spacing w:line="480" w:lineRule="auto"/>
        <w:ind w:firstLine="720"/>
        <w:rPr>
          <w:rFonts w:ascii="Times New Roman" w:hAnsi="Times New Roman"/>
        </w:rPr>
      </w:pPr>
      <w:proofErr w:type="spellStart"/>
      <w:r w:rsidRPr="00C442CE">
        <w:rPr>
          <w:rFonts w:ascii="Times New Roman" w:hAnsi="Times New Roman"/>
        </w:rPr>
        <w:t>Rattner</w:t>
      </w:r>
      <w:proofErr w:type="spellEnd"/>
      <w:r w:rsidRPr="00C442CE">
        <w:rPr>
          <w:rFonts w:ascii="Times New Roman" w:hAnsi="Times New Roman"/>
        </w:rPr>
        <w:t xml:space="preserve">, Bloom and their colleagues assumed the strategic planning function just as they might have in a private restructuring.  They superintended the players – the </w:t>
      </w:r>
      <w:r w:rsidRPr="00C442CE">
        <w:rPr>
          <w:rFonts w:ascii="Times New Roman" w:hAnsi="Times New Roman"/>
        </w:rPr>
        <w:lastRenderedPageBreak/>
        <w:t>creditors, government agencies both domestic and foreign, the board of directors, the CEO, and the union leadership.  They made clear that continued financial support was contingent on progress.</w:t>
      </w:r>
      <w:r w:rsidRPr="00C442CE">
        <w:rPr>
          <w:rStyle w:val="EndnoteReference"/>
          <w:rFonts w:ascii="Times New Roman" w:hAnsi="Times New Roman"/>
        </w:rPr>
        <w:endnoteReference w:id="30"/>
      </w:r>
      <w:r w:rsidRPr="00C442CE">
        <w:rPr>
          <w:rFonts w:ascii="Times New Roman" w:hAnsi="Times New Roman"/>
        </w:rPr>
        <w:t xml:space="preserve"> The Task Force’s “viability assessments” focused on adjustments to product mix and design, manufacturing flexibility, purchasing, and dealer networks.</w:t>
      </w:r>
      <w:r w:rsidRPr="00C442CE">
        <w:rPr>
          <w:rStyle w:val="EndnoteReference"/>
          <w:rFonts w:ascii="Times New Roman" w:hAnsi="Times New Roman"/>
        </w:rPr>
        <w:endnoteReference w:id="31"/>
      </w:r>
      <w:r w:rsidRPr="00C442CE">
        <w:rPr>
          <w:rFonts w:ascii="Times New Roman" w:hAnsi="Times New Roman"/>
        </w:rPr>
        <w:t xml:space="preserve">  The Task Force left it to the OEMs to push the suppliers for quality.</w:t>
      </w:r>
      <w:r w:rsidRPr="00C442CE">
        <w:rPr>
          <w:rStyle w:val="EndnoteReference"/>
          <w:rFonts w:ascii="Times New Roman" w:hAnsi="Times New Roman"/>
        </w:rPr>
        <w:endnoteReference w:id="32"/>
      </w:r>
    </w:p>
    <w:p w:rsidR="00DB47A4" w:rsidRDefault="00DB47A4" w:rsidP="00A96BA9">
      <w:pPr>
        <w:spacing w:line="480" w:lineRule="auto"/>
        <w:ind w:firstLine="720"/>
        <w:rPr>
          <w:rFonts w:ascii="Times New Roman" w:hAnsi="Times New Roman"/>
        </w:rPr>
      </w:pPr>
      <w:r w:rsidRPr="00C442CE">
        <w:rPr>
          <w:rFonts w:ascii="Times New Roman" w:hAnsi="Times New Roman"/>
        </w:rPr>
        <w:t>The administration’s monitoring was informed by the post-1970’s debates, but the President gave codetermination a greater voice.</w:t>
      </w:r>
      <w:r w:rsidRPr="00C442CE">
        <w:rPr>
          <w:rStyle w:val="EndnoteReference"/>
          <w:rFonts w:ascii="Times New Roman" w:hAnsi="Times New Roman"/>
        </w:rPr>
        <w:t xml:space="preserve"> </w:t>
      </w:r>
      <w:r w:rsidRPr="00C442CE">
        <w:rPr>
          <w:rStyle w:val="EndnoteReference"/>
          <w:rFonts w:ascii="Times New Roman" w:hAnsi="Times New Roman"/>
        </w:rPr>
        <w:endnoteReference w:id="33"/>
      </w:r>
      <w:r w:rsidR="00A96BA9">
        <w:rPr>
          <w:rFonts w:ascii="Times New Roman" w:hAnsi="Times New Roman"/>
        </w:rPr>
        <w:t xml:space="preserve">  </w:t>
      </w:r>
      <w:r w:rsidRPr="00C442CE">
        <w:rPr>
          <w:rFonts w:ascii="Times New Roman" w:hAnsi="Times New Roman"/>
        </w:rPr>
        <w:t>Treasury resisted “external pressures to focus on public policy goals” such as “job retention”. The Treasury’s view was that the government should have the same goals as those that companies are supposed to have toward their investors – now including citizens-as-investors—which is to maximize shareholder value. This view is what officials believed made Treasury’s actions not political.</w:t>
      </w:r>
      <w:r w:rsidRPr="00C442CE">
        <w:rPr>
          <w:rStyle w:val="EndnoteReference"/>
          <w:rFonts w:ascii="Times New Roman" w:hAnsi="Times New Roman"/>
        </w:rPr>
        <w:endnoteReference w:id="34"/>
      </w:r>
      <w:r w:rsidRPr="00C442CE">
        <w:rPr>
          <w:rFonts w:ascii="Times New Roman" w:hAnsi="Times New Roman"/>
        </w:rPr>
        <w:t xml:space="preserve">  Even </w:t>
      </w:r>
      <w:proofErr w:type="spellStart"/>
      <w:r w:rsidRPr="00C442CE">
        <w:rPr>
          <w:rFonts w:ascii="Times New Roman" w:hAnsi="Times New Roman"/>
        </w:rPr>
        <w:t>Rattner</w:t>
      </w:r>
      <w:proofErr w:type="spellEnd"/>
      <w:r w:rsidRPr="00C442CE">
        <w:rPr>
          <w:rFonts w:ascii="Times New Roman" w:hAnsi="Times New Roman"/>
        </w:rPr>
        <w:t xml:space="preserve"> had doubts about the application of the shareholder value to G.M., in part because he was impressed by the new capabilities at the factory level.</w:t>
      </w:r>
      <w:r w:rsidRPr="00C442CE">
        <w:rPr>
          <w:rStyle w:val="EndnoteReference"/>
          <w:rFonts w:ascii="Times New Roman" w:hAnsi="Times New Roman"/>
        </w:rPr>
        <w:endnoteReference w:id="35"/>
      </w:r>
      <w:r w:rsidRPr="00C442CE">
        <w:rPr>
          <w:rFonts w:ascii="Times New Roman" w:hAnsi="Times New Roman"/>
        </w:rPr>
        <w:t xml:space="preserve"> Whatever the government did – including shareholder value – was a commitment to a social vision.  In a critical meeting about whether to save Chrysler, the Task Force was split and the C.E.A. was opposed.  The President made the decision to save the company and workers’ jobs despite a “commercial” argument that </w:t>
      </w:r>
      <w:proofErr w:type="gramStart"/>
      <w:r w:rsidRPr="00C442CE">
        <w:rPr>
          <w:rFonts w:ascii="Times New Roman" w:hAnsi="Times New Roman"/>
        </w:rPr>
        <w:t>a Chrysler</w:t>
      </w:r>
      <w:proofErr w:type="gramEnd"/>
      <w:r w:rsidRPr="00C442CE">
        <w:rPr>
          <w:rFonts w:ascii="Times New Roman" w:hAnsi="Times New Roman"/>
        </w:rPr>
        <w:t xml:space="preserve"> liquidation would help G.M. and Ford survive.</w:t>
      </w:r>
      <w:r w:rsidRPr="00C442CE">
        <w:rPr>
          <w:rStyle w:val="EndnoteReference"/>
          <w:rFonts w:ascii="Times New Roman" w:hAnsi="Times New Roman"/>
        </w:rPr>
        <w:endnoteReference w:id="36"/>
      </w:r>
    </w:p>
    <w:p w:rsidR="00DB47A4" w:rsidRPr="00C442CE" w:rsidRDefault="00DB47A4" w:rsidP="00DB47A4">
      <w:pPr>
        <w:spacing w:line="480" w:lineRule="auto"/>
        <w:ind w:firstLine="720"/>
        <w:rPr>
          <w:rFonts w:ascii="Times New Roman" w:hAnsi="Times New Roman"/>
        </w:rPr>
      </w:pPr>
      <w:r w:rsidRPr="00C442CE">
        <w:rPr>
          <w:rFonts w:ascii="Times New Roman" w:hAnsi="Times New Roman"/>
        </w:rPr>
        <w:t xml:space="preserve">The administration saved the union by seeking better collective bargaining agreements and it preserved </w:t>
      </w:r>
      <w:r w:rsidRPr="00C442CE">
        <w:rPr>
          <w:rFonts w:ascii="Times New Roman" w:hAnsi="Times New Roman"/>
          <w:i/>
        </w:rPr>
        <w:t>most</w:t>
      </w:r>
      <w:r w:rsidRPr="00C442CE">
        <w:rPr>
          <w:rFonts w:ascii="Times New Roman" w:hAnsi="Times New Roman"/>
        </w:rPr>
        <w:t xml:space="preserve"> of the pension and health benefits for incumbent employees and retirees.  The auto companies themselves resisted the unitary management assumption that they should fight the union on benefits because “these guys you’re dealing with are the ones who build your products”.</w:t>
      </w:r>
      <w:r w:rsidRPr="00C442CE">
        <w:rPr>
          <w:rStyle w:val="EndnoteReference"/>
          <w:rFonts w:ascii="Times New Roman" w:hAnsi="Times New Roman"/>
        </w:rPr>
        <w:endnoteReference w:id="37"/>
      </w:r>
      <w:r w:rsidRPr="00C442CE">
        <w:rPr>
          <w:rFonts w:ascii="Times New Roman" w:hAnsi="Times New Roman"/>
        </w:rPr>
        <w:t xml:space="preserve">  The administration gave new </w:t>
      </w:r>
      <w:r w:rsidRPr="00C442CE">
        <w:rPr>
          <w:rFonts w:ascii="Times New Roman" w:hAnsi="Times New Roman"/>
        </w:rPr>
        <w:lastRenderedPageBreak/>
        <w:t xml:space="preserve">authority to the internal alliances around U.A.W. president Ron </w:t>
      </w:r>
      <w:proofErr w:type="spellStart"/>
      <w:r w:rsidRPr="00C442CE">
        <w:rPr>
          <w:rFonts w:ascii="Times New Roman" w:hAnsi="Times New Roman"/>
        </w:rPr>
        <w:t>Gettelfinger</w:t>
      </w:r>
      <w:proofErr w:type="spellEnd"/>
      <w:r w:rsidRPr="00C442CE">
        <w:rPr>
          <w:rFonts w:ascii="Times New Roman" w:hAnsi="Times New Roman"/>
        </w:rPr>
        <w:t>, who fought to save jobs, but who also agreed to convince members about the new strategic cooperation.  Starting pay was cut dramatically and performance-based pay may increase over time.</w:t>
      </w:r>
      <w:r w:rsidRPr="00C442CE">
        <w:rPr>
          <w:rStyle w:val="EndnoteReference"/>
          <w:rFonts w:ascii="Times New Roman" w:hAnsi="Times New Roman"/>
        </w:rPr>
        <w:endnoteReference w:id="38"/>
      </w:r>
      <w:r w:rsidRPr="00C442CE">
        <w:rPr>
          <w:rFonts w:ascii="Times New Roman" w:hAnsi="Times New Roman"/>
        </w:rPr>
        <w:t xml:space="preserve">  Hundreds of job classifications were collapsed to make job assignments and responsibilities more flexible. The companies and U.A.W. collapsed production worker jobs into two classifications, team member and team leader; the Task Force pushed to reduce skilled trades jobs into two or three classifications.  Union members agreed to a no-strike clause.  These changes earned strong opposition from some autoworkers, but most members voted for the changes.</w:t>
      </w:r>
      <w:r w:rsidRPr="00C442CE">
        <w:rPr>
          <w:rStyle w:val="EndnoteReference"/>
          <w:rFonts w:ascii="Times New Roman" w:hAnsi="Times New Roman"/>
        </w:rPr>
        <w:endnoteReference w:id="39"/>
      </w:r>
      <w:r w:rsidRPr="00C442CE">
        <w:rPr>
          <w:rFonts w:ascii="Times New Roman" w:hAnsi="Times New Roman"/>
        </w:rPr>
        <w:t xml:space="preserve"> </w:t>
      </w:r>
    </w:p>
    <w:p w:rsidR="0033654E" w:rsidRDefault="0033654E" w:rsidP="0033654E">
      <w:pPr>
        <w:spacing w:line="480" w:lineRule="auto"/>
        <w:ind w:firstLine="720"/>
        <w:rPr>
          <w:rFonts w:ascii="Times New Roman" w:hAnsi="Times New Roman"/>
        </w:rPr>
      </w:pPr>
    </w:p>
    <w:p w:rsidR="009C7379" w:rsidRPr="006B3D8E" w:rsidRDefault="00DB47A4" w:rsidP="009C7379">
      <w:pPr>
        <w:spacing w:line="480" w:lineRule="auto"/>
        <w:rPr>
          <w:sz w:val="22"/>
          <w:szCs w:val="22"/>
        </w:rPr>
      </w:pPr>
      <w:r>
        <w:rPr>
          <w:sz w:val="22"/>
          <w:szCs w:val="22"/>
        </w:rPr>
        <w:t>Conclusion</w:t>
      </w:r>
    </w:p>
    <w:p w:rsidR="00E4571C" w:rsidRDefault="009C7379" w:rsidP="00BB658D">
      <w:pPr>
        <w:spacing w:line="480" w:lineRule="auto"/>
        <w:ind w:firstLine="720"/>
        <w:rPr>
          <w:sz w:val="22"/>
          <w:szCs w:val="22"/>
        </w:rPr>
      </w:pPr>
      <w:r w:rsidRPr="006B3D8E">
        <w:rPr>
          <w:sz w:val="22"/>
          <w:szCs w:val="22"/>
        </w:rPr>
        <w:t xml:space="preserve">It’s a very old observation that if the actors are like actors in a play, reading </w:t>
      </w:r>
      <w:r w:rsidR="00E4571C">
        <w:rPr>
          <w:sz w:val="22"/>
          <w:szCs w:val="22"/>
        </w:rPr>
        <w:t>a script, they don’t have agency</w:t>
      </w:r>
      <w:r w:rsidRPr="006B3D8E">
        <w:rPr>
          <w:sz w:val="22"/>
          <w:szCs w:val="22"/>
        </w:rPr>
        <w:t xml:space="preserve">.  Similarly, economists standardize individuals when they simplify motives and preferences to apply a theory of maximizing calculation.  Political scientists often standardize citizens, voters, bureaucrats, judges, Congressmen etc. as part of our toolkit for explaining how our democracy operates – but it’s also a format of stable roles to play, which leads to generalizations such as the US is a “center-right nation” or a weak state or a liberal market economy or a Christian Nation, as if this has always been the case and ever will be. But if we [here] think that our democracy has evolved, then we have to allow the actors to think for themselves and take actions that are not scripted.  </w:t>
      </w:r>
      <w:r w:rsidR="00E4571C">
        <w:rPr>
          <w:sz w:val="22"/>
          <w:szCs w:val="22"/>
        </w:rPr>
        <w:t xml:space="preserve">We’re more like actors in search of playwright.  </w:t>
      </w:r>
      <w:r w:rsidRPr="006B3D8E">
        <w:rPr>
          <w:sz w:val="22"/>
          <w:szCs w:val="22"/>
        </w:rPr>
        <w:t xml:space="preserve">… </w:t>
      </w:r>
    </w:p>
    <w:p w:rsidR="00E4571C" w:rsidRDefault="009C7379" w:rsidP="00BB658D">
      <w:pPr>
        <w:spacing w:line="480" w:lineRule="auto"/>
        <w:ind w:firstLine="720"/>
        <w:rPr>
          <w:sz w:val="22"/>
          <w:szCs w:val="22"/>
        </w:rPr>
      </w:pPr>
      <w:r w:rsidRPr="006B3D8E">
        <w:rPr>
          <w:sz w:val="22"/>
          <w:szCs w:val="22"/>
        </w:rPr>
        <w:t xml:space="preserve">Unlike economists and more like playwrights, some political scientists at least conceive actors or agents not as isolated individuals but as participants in an on-going collective action of popular self-government in which individuals are the object and subject </w:t>
      </w:r>
      <w:r w:rsidRPr="006B3D8E">
        <w:rPr>
          <w:sz w:val="22"/>
          <w:szCs w:val="22"/>
        </w:rPr>
        <w:lastRenderedPageBreak/>
        <w:t>of many forces and relationships.</w:t>
      </w:r>
      <w:r w:rsidR="00E4571C">
        <w:rPr>
          <w:rStyle w:val="EndnoteReference"/>
          <w:sz w:val="22"/>
          <w:szCs w:val="22"/>
        </w:rPr>
        <w:endnoteReference w:id="40"/>
      </w:r>
      <w:r w:rsidRPr="006B3D8E">
        <w:rPr>
          <w:sz w:val="22"/>
          <w:szCs w:val="22"/>
        </w:rPr>
        <w:t xml:space="preserve"> </w:t>
      </w:r>
      <w:r w:rsidR="00E4571C">
        <w:rPr>
          <w:sz w:val="22"/>
          <w:szCs w:val="22"/>
        </w:rPr>
        <w:t xml:space="preserve"> </w:t>
      </w:r>
      <w:r w:rsidRPr="006B3D8E">
        <w:rPr>
          <w:sz w:val="22"/>
          <w:szCs w:val="22"/>
        </w:rPr>
        <w:t>Citizens are moving targets that we try to p</w:t>
      </w:r>
      <w:r w:rsidR="00D24375" w:rsidRPr="006B3D8E">
        <w:rPr>
          <w:sz w:val="22"/>
          <w:szCs w:val="22"/>
        </w:rPr>
        <w:t>in down, for example, to explain</w:t>
      </w:r>
      <w:r w:rsidRPr="006B3D8E">
        <w:rPr>
          <w:sz w:val="22"/>
          <w:szCs w:val="22"/>
        </w:rPr>
        <w:t xml:space="preserve"> voting patt</w:t>
      </w:r>
      <w:r w:rsidR="00D24375" w:rsidRPr="006B3D8E">
        <w:rPr>
          <w:sz w:val="22"/>
          <w:szCs w:val="22"/>
        </w:rPr>
        <w:t>erns or account for outcomes of</w:t>
      </w:r>
      <w:r w:rsidRPr="006B3D8E">
        <w:rPr>
          <w:sz w:val="22"/>
          <w:szCs w:val="22"/>
        </w:rPr>
        <w:t xml:space="preserve"> active labor market policies – instrumental goals that we have as observers, but that may not be what the agents think they’re doing.  </w:t>
      </w:r>
    </w:p>
    <w:p w:rsidR="009C7379" w:rsidRPr="006B3D8E" w:rsidRDefault="009C7379" w:rsidP="00BB658D">
      <w:pPr>
        <w:spacing w:line="480" w:lineRule="auto"/>
        <w:ind w:firstLine="720"/>
        <w:rPr>
          <w:sz w:val="22"/>
          <w:szCs w:val="22"/>
        </w:rPr>
      </w:pPr>
      <w:r w:rsidRPr="006B3D8E">
        <w:rPr>
          <w:sz w:val="22"/>
          <w:szCs w:val="22"/>
        </w:rPr>
        <w:t xml:space="preserve">Voting, for example, looks highly structured by rules on the one hand, but on the other takes hardly any of the time of a typical citizen; there is so much else in their purview.  And yet studies of voting behavior typically introduce sociological and </w:t>
      </w:r>
      <w:proofErr w:type="spellStart"/>
      <w:r w:rsidRPr="006B3D8E">
        <w:rPr>
          <w:sz w:val="22"/>
          <w:szCs w:val="22"/>
        </w:rPr>
        <w:t>economistic</w:t>
      </w:r>
      <w:proofErr w:type="spellEnd"/>
      <w:r w:rsidRPr="006B3D8E">
        <w:rPr>
          <w:sz w:val="22"/>
          <w:szCs w:val="22"/>
        </w:rPr>
        <w:t xml:space="preserve"> theories to radically simplify what comes into voting decisions:  there are standard groupings of voters, such as female or male, age group, race, income quintile etc., and members of groups respond similarly to external forces, such as the rate of growth in GDP in the second quarter of an election year.  But then we observe the remarkable (if not understood) transformation of the family or what Americans accept as the official, legal, rights-giving form of the family.  The explanation for this rapid change is not the pre-formed category “liberal youth”; the category may be our way to pin down something that happened as a result of unscripted action. </w:t>
      </w:r>
    </w:p>
    <w:p w:rsidR="009C7379" w:rsidRPr="006B3D8E" w:rsidRDefault="009C7379" w:rsidP="009C7379">
      <w:pPr>
        <w:spacing w:line="480" w:lineRule="auto"/>
        <w:rPr>
          <w:sz w:val="22"/>
          <w:szCs w:val="22"/>
        </w:rPr>
      </w:pPr>
    </w:p>
    <w:p w:rsidR="00837774" w:rsidRPr="006B3D8E" w:rsidRDefault="009C7379" w:rsidP="00BB658D">
      <w:pPr>
        <w:spacing w:line="480" w:lineRule="auto"/>
        <w:ind w:firstLine="720"/>
        <w:rPr>
          <w:sz w:val="22"/>
          <w:szCs w:val="22"/>
        </w:rPr>
      </w:pPr>
      <w:r w:rsidRPr="006B3D8E">
        <w:rPr>
          <w:sz w:val="22"/>
          <w:szCs w:val="22"/>
        </w:rPr>
        <w:t xml:space="preserve">The notion is – that society and politics themselves are constructed and that they are elements of the other things we want to explain – race relations, health care policy development etc.  The fundamental question for investigation is what did some individuals think they were doing:  what project did they think they had in common that they expended effort and resources to achieve?  The </w:t>
      </w:r>
      <w:r w:rsidRPr="00E4571C">
        <w:rPr>
          <w:i/>
          <w:sz w:val="22"/>
          <w:szCs w:val="22"/>
        </w:rPr>
        <w:t>project</w:t>
      </w:r>
      <w:r w:rsidRPr="006B3D8E">
        <w:rPr>
          <w:sz w:val="22"/>
          <w:szCs w:val="22"/>
        </w:rPr>
        <w:t xml:space="preserve"> is wha</w:t>
      </w:r>
      <w:r w:rsidR="00E4571C">
        <w:rPr>
          <w:sz w:val="22"/>
          <w:szCs w:val="22"/>
        </w:rPr>
        <w:t xml:space="preserve">t is social and political… </w:t>
      </w:r>
    </w:p>
    <w:p w:rsidR="00E4571C" w:rsidRDefault="007C6C0B" w:rsidP="00837774">
      <w:pPr>
        <w:spacing w:line="480" w:lineRule="auto"/>
        <w:ind w:firstLine="720"/>
        <w:rPr>
          <w:sz w:val="22"/>
          <w:szCs w:val="22"/>
        </w:rPr>
      </w:pPr>
      <w:r w:rsidRPr="006B3D8E">
        <w:rPr>
          <w:sz w:val="22"/>
          <w:szCs w:val="22"/>
        </w:rPr>
        <w:t>In recent years a new</w:t>
      </w:r>
      <w:r w:rsidR="00252797" w:rsidRPr="006B3D8E">
        <w:rPr>
          <w:sz w:val="22"/>
          <w:szCs w:val="22"/>
        </w:rPr>
        <w:t xml:space="preserve"> post-</w:t>
      </w:r>
      <w:proofErr w:type="spellStart"/>
      <w:r w:rsidR="00252797" w:rsidRPr="006B3D8E">
        <w:rPr>
          <w:sz w:val="22"/>
          <w:szCs w:val="22"/>
        </w:rPr>
        <w:t>institutionalist</w:t>
      </w:r>
      <w:proofErr w:type="spellEnd"/>
      <w:r w:rsidR="00252797" w:rsidRPr="006B3D8E">
        <w:rPr>
          <w:sz w:val="22"/>
          <w:szCs w:val="22"/>
        </w:rPr>
        <w:t xml:space="preserve"> </w:t>
      </w:r>
      <w:r w:rsidR="00717B82" w:rsidRPr="006B3D8E">
        <w:rPr>
          <w:sz w:val="22"/>
          <w:szCs w:val="22"/>
        </w:rPr>
        <w:t xml:space="preserve">pragmatist </w:t>
      </w:r>
      <w:r w:rsidR="00252797" w:rsidRPr="006B3D8E">
        <w:rPr>
          <w:sz w:val="22"/>
          <w:szCs w:val="22"/>
        </w:rPr>
        <w:t>theory and research</w:t>
      </w:r>
      <w:r w:rsidRPr="006B3D8E">
        <w:rPr>
          <w:sz w:val="22"/>
          <w:szCs w:val="22"/>
        </w:rPr>
        <w:t xml:space="preserve"> strategy</w:t>
      </w:r>
      <w:r w:rsidR="00252797" w:rsidRPr="006B3D8E">
        <w:rPr>
          <w:sz w:val="22"/>
          <w:szCs w:val="22"/>
        </w:rPr>
        <w:t xml:space="preserve"> </w:t>
      </w:r>
      <w:r w:rsidRPr="006B3D8E">
        <w:rPr>
          <w:sz w:val="22"/>
          <w:szCs w:val="22"/>
        </w:rPr>
        <w:t xml:space="preserve">has </w:t>
      </w:r>
      <w:r w:rsidR="00252797" w:rsidRPr="006B3D8E">
        <w:rPr>
          <w:sz w:val="22"/>
          <w:szCs w:val="22"/>
        </w:rPr>
        <w:t>emerged</w:t>
      </w:r>
      <w:r w:rsidRPr="006B3D8E">
        <w:rPr>
          <w:sz w:val="22"/>
          <w:szCs w:val="22"/>
        </w:rPr>
        <w:t xml:space="preserve"> that focuses on situated agency. </w:t>
      </w:r>
      <w:r w:rsidR="00E4571C">
        <w:rPr>
          <w:sz w:val="22"/>
          <w:szCs w:val="22"/>
        </w:rPr>
        <w:t>[</w:t>
      </w:r>
      <w:r w:rsidR="00C25EB5" w:rsidRPr="006B3D8E">
        <w:rPr>
          <w:sz w:val="22"/>
          <w:szCs w:val="22"/>
        </w:rPr>
        <w:t xml:space="preserve">E.g. </w:t>
      </w:r>
      <w:proofErr w:type="spellStart"/>
      <w:r w:rsidR="00C25EB5" w:rsidRPr="006B3D8E">
        <w:rPr>
          <w:sz w:val="22"/>
          <w:szCs w:val="22"/>
        </w:rPr>
        <w:t>Mettler’s</w:t>
      </w:r>
      <w:proofErr w:type="spellEnd"/>
      <w:r w:rsidR="00C25EB5" w:rsidRPr="006B3D8E">
        <w:rPr>
          <w:sz w:val="22"/>
          <w:szCs w:val="22"/>
        </w:rPr>
        <w:t xml:space="preserve"> work on the GI bill and citizenship, viz. how institutions may contribute to the</w:t>
      </w:r>
      <w:r w:rsidR="00E4571C">
        <w:rPr>
          <w:sz w:val="22"/>
          <w:szCs w:val="22"/>
        </w:rPr>
        <w:t xml:space="preserve"> processes of self-government.</w:t>
      </w:r>
      <w:r w:rsidR="006D4785" w:rsidRPr="006B3D8E">
        <w:rPr>
          <w:sz w:val="22"/>
          <w:szCs w:val="22"/>
        </w:rPr>
        <w:t>]</w:t>
      </w:r>
      <w:r w:rsidR="009E0717" w:rsidRPr="006B3D8E">
        <w:rPr>
          <w:sz w:val="22"/>
          <w:szCs w:val="22"/>
        </w:rPr>
        <w:t xml:space="preserve"> </w:t>
      </w:r>
      <w:r w:rsidR="00717B82" w:rsidRPr="006B3D8E">
        <w:rPr>
          <w:sz w:val="22"/>
          <w:szCs w:val="22"/>
        </w:rPr>
        <w:t xml:space="preserve">Situated agency refers to the ways in which institutions organize the places of action and </w:t>
      </w:r>
      <w:r w:rsidR="00717B82" w:rsidRPr="006B3D8E">
        <w:rPr>
          <w:sz w:val="22"/>
          <w:szCs w:val="22"/>
        </w:rPr>
        <w:lastRenderedPageBreak/>
        <w:t>the extent to which institutions</w:t>
      </w:r>
      <w:r w:rsidR="0008784B" w:rsidRPr="006B3D8E">
        <w:rPr>
          <w:sz w:val="22"/>
          <w:szCs w:val="22"/>
        </w:rPr>
        <w:t xml:space="preserve"> contribute to</w:t>
      </w:r>
      <w:r w:rsidR="00717B82" w:rsidRPr="006B3D8E">
        <w:rPr>
          <w:sz w:val="22"/>
          <w:szCs w:val="22"/>
        </w:rPr>
        <w:t xml:space="preserve"> the capacity of agents to </w:t>
      </w:r>
      <w:r w:rsidR="0008784B" w:rsidRPr="006B3D8E">
        <w:rPr>
          <w:sz w:val="22"/>
          <w:szCs w:val="22"/>
        </w:rPr>
        <w:t xml:space="preserve">successfully </w:t>
      </w:r>
      <w:r w:rsidR="00717B82" w:rsidRPr="006B3D8E">
        <w:rPr>
          <w:sz w:val="22"/>
          <w:szCs w:val="22"/>
        </w:rPr>
        <w:t xml:space="preserve">address problems they perceive. </w:t>
      </w:r>
      <w:r w:rsidR="00E4571C">
        <w:rPr>
          <w:sz w:val="22"/>
          <w:szCs w:val="22"/>
        </w:rPr>
        <w:t xml:space="preserve"> </w:t>
      </w:r>
      <w:r w:rsidR="001B2724" w:rsidRPr="006B3D8E">
        <w:rPr>
          <w:sz w:val="22"/>
          <w:szCs w:val="22"/>
        </w:rPr>
        <w:t xml:space="preserve">The </w:t>
      </w:r>
      <w:r w:rsidR="00DA5244" w:rsidRPr="006B3D8E">
        <w:rPr>
          <w:sz w:val="22"/>
          <w:szCs w:val="22"/>
        </w:rPr>
        <w:t xml:space="preserve">post-institutional impulse </w:t>
      </w:r>
      <w:r w:rsidR="001B2724" w:rsidRPr="006B3D8E">
        <w:rPr>
          <w:sz w:val="22"/>
          <w:szCs w:val="22"/>
        </w:rPr>
        <w:t xml:space="preserve">is </w:t>
      </w:r>
      <w:r w:rsidR="001B2724" w:rsidRPr="006B3D8E">
        <w:rPr>
          <w:i/>
          <w:sz w:val="22"/>
          <w:szCs w:val="22"/>
        </w:rPr>
        <w:t>not</w:t>
      </w:r>
      <w:r w:rsidR="001B2724" w:rsidRPr="006B3D8E">
        <w:rPr>
          <w:sz w:val="22"/>
          <w:szCs w:val="22"/>
        </w:rPr>
        <w:t xml:space="preserve"> that institutions </w:t>
      </w:r>
      <w:r w:rsidR="001B2724" w:rsidRPr="00E4571C">
        <w:rPr>
          <w:i/>
          <w:sz w:val="22"/>
          <w:szCs w:val="22"/>
        </w:rPr>
        <w:t>are not</w:t>
      </w:r>
      <w:r w:rsidR="001B2724" w:rsidRPr="006B3D8E">
        <w:rPr>
          <w:sz w:val="22"/>
          <w:szCs w:val="22"/>
        </w:rPr>
        <w:t xml:space="preserve"> forms of power that help us account for what individuals do or f</w:t>
      </w:r>
      <w:r w:rsidR="00715734" w:rsidRPr="006B3D8E">
        <w:rPr>
          <w:sz w:val="22"/>
          <w:szCs w:val="22"/>
        </w:rPr>
        <w:t xml:space="preserve">or </w:t>
      </w:r>
      <w:r w:rsidR="00D03689" w:rsidRPr="006B3D8E">
        <w:rPr>
          <w:sz w:val="22"/>
          <w:szCs w:val="22"/>
        </w:rPr>
        <w:t xml:space="preserve">the </w:t>
      </w:r>
      <w:r w:rsidR="006D4785" w:rsidRPr="006B3D8E">
        <w:rPr>
          <w:sz w:val="22"/>
          <w:szCs w:val="22"/>
        </w:rPr>
        <w:t>significant “big” outcomes</w:t>
      </w:r>
      <w:r w:rsidR="00E4571C">
        <w:rPr>
          <w:sz w:val="22"/>
          <w:szCs w:val="22"/>
        </w:rPr>
        <w:t xml:space="preserve">. </w:t>
      </w:r>
      <w:r w:rsidR="001B2724" w:rsidRPr="006B3D8E">
        <w:rPr>
          <w:sz w:val="22"/>
          <w:szCs w:val="22"/>
        </w:rPr>
        <w:t>Rather, the problem</w:t>
      </w:r>
      <w:r w:rsidR="00D03689" w:rsidRPr="006B3D8E">
        <w:rPr>
          <w:sz w:val="22"/>
          <w:szCs w:val="22"/>
        </w:rPr>
        <w:t xml:space="preserve"> is that</w:t>
      </w:r>
      <w:r w:rsidR="00252797" w:rsidRPr="006B3D8E">
        <w:rPr>
          <w:sz w:val="22"/>
          <w:szCs w:val="22"/>
        </w:rPr>
        <w:t xml:space="preserve"> institutional analysis</w:t>
      </w:r>
      <w:r w:rsidR="001B2724" w:rsidRPr="006B3D8E">
        <w:rPr>
          <w:sz w:val="22"/>
          <w:szCs w:val="22"/>
        </w:rPr>
        <w:t xml:space="preserve"> is good for some things and not for others, but that political scientists often don’t distinguish the </w:t>
      </w:r>
      <w:r w:rsidR="009558C5" w:rsidRPr="006B3D8E">
        <w:rPr>
          <w:sz w:val="22"/>
          <w:szCs w:val="22"/>
        </w:rPr>
        <w:t>two things</w:t>
      </w:r>
      <w:r w:rsidR="001B2724" w:rsidRPr="006B3D8E">
        <w:rPr>
          <w:sz w:val="22"/>
          <w:szCs w:val="22"/>
        </w:rPr>
        <w:t>.  What institutional theories are best at is accounting f</w:t>
      </w:r>
      <w:r w:rsidR="006D4785" w:rsidRPr="006B3D8E">
        <w:rPr>
          <w:sz w:val="22"/>
          <w:szCs w:val="22"/>
        </w:rPr>
        <w:t xml:space="preserve">or strong </w:t>
      </w:r>
      <w:r w:rsidR="00012E25" w:rsidRPr="006B3D8E">
        <w:rPr>
          <w:sz w:val="22"/>
          <w:szCs w:val="22"/>
        </w:rPr>
        <w:t>institutional</w:t>
      </w:r>
      <w:r w:rsidR="001B2724" w:rsidRPr="006B3D8E">
        <w:rPr>
          <w:sz w:val="22"/>
          <w:szCs w:val="22"/>
        </w:rPr>
        <w:t xml:space="preserve"> ordering of relations among age</w:t>
      </w:r>
      <w:r w:rsidR="000F7845" w:rsidRPr="006B3D8E">
        <w:rPr>
          <w:sz w:val="22"/>
          <w:szCs w:val="22"/>
        </w:rPr>
        <w:t>nts, b</w:t>
      </w:r>
      <w:r w:rsidR="00DA5244" w:rsidRPr="006B3D8E">
        <w:rPr>
          <w:sz w:val="22"/>
          <w:szCs w:val="22"/>
        </w:rPr>
        <w:t>ut what we’re</w:t>
      </w:r>
      <w:r w:rsidR="001B2724" w:rsidRPr="006B3D8E">
        <w:rPr>
          <w:sz w:val="22"/>
          <w:szCs w:val="22"/>
        </w:rPr>
        <w:t xml:space="preserve"> less</w:t>
      </w:r>
      <w:r w:rsidR="00C828B4" w:rsidRPr="006B3D8E">
        <w:rPr>
          <w:sz w:val="22"/>
          <w:szCs w:val="22"/>
        </w:rPr>
        <w:t xml:space="preserve"> inclined to notice is that </w:t>
      </w:r>
      <w:r w:rsidR="000F7845" w:rsidRPr="006B3D8E">
        <w:rPr>
          <w:sz w:val="22"/>
          <w:szCs w:val="22"/>
        </w:rPr>
        <w:t xml:space="preserve">that kind of </w:t>
      </w:r>
      <w:r w:rsidR="001B2724" w:rsidRPr="006B3D8E">
        <w:rPr>
          <w:sz w:val="22"/>
          <w:szCs w:val="22"/>
        </w:rPr>
        <w:t xml:space="preserve">established order may be exceptional or provisional only and that, therefore, the more demanding need is to </w:t>
      </w:r>
      <w:r w:rsidR="00C828B4" w:rsidRPr="006B3D8E">
        <w:rPr>
          <w:sz w:val="22"/>
          <w:szCs w:val="22"/>
        </w:rPr>
        <w:t>think about how to</w:t>
      </w:r>
      <w:r w:rsidR="00012E25" w:rsidRPr="006B3D8E">
        <w:rPr>
          <w:sz w:val="22"/>
          <w:szCs w:val="22"/>
        </w:rPr>
        <w:t xml:space="preserve"> study the formation</w:t>
      </w:r>
      <w:r w:rsidR="00DA5244" w:rsidRPr="006B3D8E">
        <w:rPr>
          <w:sz w:val="22"/>
          <w:szCs w:val="22"/>
        </w:rPr>
        <w:t xml:space="preserve"> and reformation</w:t>
      </w:r>
      <w:r w:rsidR="00012E25" w:rsidRPr="006B3D8E">
        <w:rPr>
          <w:sz w:val="22"/>
          <w:szCs w:val="22"/>
        </w:rPr>
        <w:t xml:space="preserve"> of ordered</w:t>
      </w:r>
      <w:r w:rsidR="00C828B4" w:rsidRPr="006B3D8E">
        <w:rPr>
          <w:sz w:val="22"/>
          <w:szCs w:val="22"/>
        </w:rPr>
        <w:t xml:space="preserve"> behaviors and institutions in a thoroughly political way.  </w:t>
      </w:r>
    </w:p>
    <w:p w:rsidR="00E4571C" w:rsidRDefault="00C828B4" w:rsidP="00E4571C">
      <w:pPr>
        <w:spacing w:line="480" w:lineRule="auto"/>
        <w:ind w:firstLine="720"/>
        <w:rPr>
          <w:sz w:val="22"/>
          <w:szCs w:val="22"/>
        </w:rPr>
      </w:pPr>
      <w:r w:rsidRPr="006B3D8E">
        <w:rPr>
          <w:sz w:val="22"/>
          <w:szCs w:val="22"/>
        </w:rPr>
        <w:t>I think that (la</w:t>
      </w:r>
      <w:r w:rsidR="00CA5BBA" w:rsidRPr="006B3D8E">
        <w:rPr>
          <w:sz w:val="22"/>
          <w:szCs w:val="22"/>
        </w:rPr>
        <w:t xml:space="preserve">st) point is critical, namely the need for a </w:t>
      </w:r>
      <w:r w:rsidRPr="006B3D8E">
        <w:rPr>
          <w:sz w:val="22"/>
          <w:szCs w:val="22"/>
        </w:rPr>
        <w:t>thoroughly political method</w:t>
      </w:r>
      <w:r w:rsidR="000F7845" w:rsidRPr="006B3D8E">
        <w:rPr>
          <w:sz w:val="22"/>
          <w:szCs w:val="22"/>
        </w:rPr>
        <w:t xml:space="preserve"> of studying politics.  Yet the typical move of change-sensitive institutionalism is to invoke </w:t>
      </w:r>
      <w:r w:rsidR="006D4785" w:rsidRPr="006B3D8E">
        <w:rPr>
          <w:sz w:val="22"/>
          <w:szCs w:val="22"/>
        </w:rPr>
        <w:t>gaps and interaction</w:t>
      </w:r>
      <w:r w:rsidR="00E4571C">
        <w:rPr>
          <w:sz w:val="22"/>
          <w:szCs w:val="22"/>
        </w:rPr>
        <w:t xml:space="preserve"> between </w:t>
      </w:r>
      <w:proofErr w:type="gramStart"/>
      <w:r w:rsidR="00E4571C">
        <w:rPr>
          <w:sz w:val="22"/>
          <w:szCs w:val="22"/>
        </w:rPr>
        <w:t>meta</w:t>
      </w:r>
      <w:proofErr w:type="gramEnd"/>
      <w:r w:rsidR="00E4571C">
        <w:rPr>
          <w:sz w:val="22"/>
          <w:szCs w:val="22"/>
        </w:rPr>
        <w:t xml:space="preserve"> rules and context</w:t>
      </w:r>
      <w:r w:rsidR="000F7845" w:rsidRPr="006B3D8E">
        <w:rPr>
          <w:sz w:val="22"/>
          <w:szCs w:val="22"/>
        </w:rPr>
        <w:t xml:space="preserve"> – the interaction of state and society, structure and agency, global and local, macro and micro – which simply leaves the</w:t>
      </w:r>
      <w:r w:rsidR="006D4785" w:rsidRPr="006B3D8E">
        <w:rPr>
          <w:sz w:val="22"/>
          <w:szCs w:val="22"/>
        </w:rPr>
        <w:t xml:space="preserve"> structure in place rather than explain the production of </w:t>
      </w:r>
      <w:r w:rsidR="000F7845" w:rsidRPr="006B3D8E">
        <w:rPr>
          <w:sz w:val="22"/>
          <w:szCs w:val="22"/>
        </w:rPr>
        <w:t xml:space="preserve">structure.  </w:t>
      </w:r>
    </w:p>
    <w:p w:rsidR="00A96BA9" w:rsidRDefault="00A96BA9" w:rsidP="00E4571C">
      <w:pPr>
        <w:spacing w:line="480" w:lineRule="auto"/>
        <w:ind w:firstLine="720"/>
        <w:rPr>
          <w:sz w:val="22"/>
          <w:szCs w:val="22"/>
        </w:rPr>
      </w:pPr>
    </w:p>
    <w:p w:rsidR="00790BF8" w:rsidRPr="006B3D8E" w:rsidRDefault="009558C5" w:rsidP="009B5CE6">
      <w:pPr>
        <w:spacing w:line="480" w:lineRule="auto"/>
        <w:ind w:firstLine="720"/>
        <w:rPr>
          <w:sz w:val="22"/>
          <w:szCs w:val="22"/>
        </w:rPr>
      </w:pPr>
      <w:r w:rsidRPr="006B3D8E">
        <w:rPr>
          <w:sz w:val="22"/>
          <w:szCs w:val="22"/>
        </w:rPr>
        <w:t>Th</w:t>
      </w:r>
      <w:r w:rsidR="00C828B4" w:rsidRPr="006B3D8E">
        <w:rPr>
          <w:sz w:val="22"/>
          <w:szCs w:val="22"/>
        </w:rPr>
        <w:t xml:space="preserve">e evident partialness of institutional explanations </w:t>
      </w:r>
      <w:r w:rsidR="006221AF" w:rsidRPr="006B3D8E">
        <w:rPr>
          <w:sz w:val="22"/>
          <w:szCs w:val="22"/>
        </w:rPr>
        <w:t xml:space="preserve">[of civics] </w:t>
      </w:r>
      <w:r w:rsidR="00C828B4" w:rsidRPr="006B3D8E">
        <w:rPr>
          <w:sz w:val="22"/>
          <w:szCs w:val="22"/>
        </w:rPr>
        <w:t>has led some to revert to social and economic explanations of politic</w:t>
      </w:r>
      <w:r w:rsidR="00012E25" w:rsidRPr="006B3D8E">
        <w:rPr>
          <w:sz w:val="22"/>
          <w:szCs w:val="22"/>
        </w:rPr>
        <w:t xml:space="preserve">s; namely, </w:t>
      </w:r>
      <w:r w:rsidR="00C828B4" w:rsidRPr="006B3D8E">
        <w:rPr>
          <w:sz w:val="22"/>
          <w:szCs w:val="22"/>
        </w:rPr>
        <w:t xml:space="preserve">arguments of the type that “behind” </w:t>
      </w:r>
      <w:r w:rsidR="00D03689" w:rsidRPr="006B3D8E">
        <w:rPr>
          <w:sz w:val="22"/>
          <w:szCs w:val="22"/>
        </w:rPr>
        <w:t xml:space="preserve">or “underneath” </w:t>
      </w:r>
      <w:r w:rsidR="00C828B4" w:rsidRPr="006B3D8E">
        <w:rPr>
          <w:sz w:val="22"/>
          <w:szCs w:val="22"/>
        </w:rPr>
        <w:t xml:space="preserve">the governmental </w:t>
      </w:r>
      <w:r w:rsidRPr="006B3D8E">
        <w:rPr>
          <w:sz w:val="22"/>
          <w:szCs w:val="22"/>
        </w:rPr>
        <w:t xml:space="preserve">or institutional </w:t>
      </w:r>
      <w:r w:rsidR="00C828B4" w:rsidRPr="006B3D8E">
        <w:rPr>
          <w:sz w:val="22"/>
          <w:szCs w:val="22"/>
        </w:rPr>
        <w:t xml:space="preserve">action is really social or economic power – interest group pressure and money, class domination, racial animosity, illiberal beliefs, </w:t>
      </w:r>
      <w:r w:rsidR="00CA5BBA" w:rsidRPr="006B3D8E">
        <w:rPr>
          <w:sz w:val="22"/>
          <w:szCs w:val="22"/>
        </w:rPr>
        <w:t xml:space="preserve">technological </w:t>
      </w:r>
      <w:r w:rsidR="00012E25" w:rsidRPr="006B3D8E">
        <w:rPr>
          <w:sz w:val="22"/>
          <w:szCs w:val="22"/>
        </w:rPr>
        <w:t xml:space="preserve">change and technological </w:t>
      </w:r>
      <w:r w:rsidR="00CA5BBA" w:rsidRPr="006B3D8E">
        <w:rPr>
          <w:sz w:val="22"/>
          <w:szCs w:val="22"/>
        </w:rPr>
        <w:t xml:space="preserve">competence, </w:t>
      </w:r>
      <w:r w:rsidR="00012E25" w:rsidRPr="006B3D8E">
        <w:rPr>
          <w:sz w:val="22"/>
          <w:szCs w:val="22"/>
        </w:rPr>
        <w:t xml:space="preserve">bureaucrats’ rational self-interest, </w:t>
      </w:r>
      <w:r w:rsidR="00252797" w:rsidRPr="006B3D8E">
        <w:rPr>
          <w:sz w:val="22"/>
          <w:szCs w:val="22"/>
        </w:rPr>
        <w:t xml:space="preserve">and so on:  that is, politics and power are embedded in society. </w:t>
      </w:r>
      <w:r w:rsidR="00C126D0" w:rsidRPr="006B3D8E">
        <w:rPr>
          <w:sz w:val="22"/>
          <w:szCs w:val="22"/>
        </w:rPr>
        <w:t xml:space="preserve"> </w:t>
      </w:r>
      <w:r w:rsidRPr="006B3D8E">
        <w:rPr>
          <w:sz w:val="22"/>
          <w:szCs w:val="22"/>
        </w:rPr>
        <w:t xml:space="preserve">To repeat:  </w:t>
      </w:r>
      <w:r w:rsidR="00CA5BBA" w:rsidRPr="006B3D8E">
        <w:rPr>
          <w:sz w:val="22"/>
          <w:szCs w:val="22"/>
        </w:rPr>
        <w:t>analyses that focus on institu</w:t>
      </w:r>
      <w:r w:rsidR="00E4571C">
        <w:rPr>
          <w:sz w:val="22"/>
          <w:szCs w:val="22"/>
        </w:rPr>
        <w:t>tional operations and rules</w:t>
      </w:r>
      <w:r w:rsidR="006221AF" w:rsidRPr="006B3D8E">
        <w:rPr>
          <w:sz w:val="22"/>
          <w:szCs w:val="22"/>
        </w:rPr>
        <w:t xml:space="preserve"> are </w:t>
      </w:r>
      <w:r w:rsidRPr="006B3D8E">
        <w:rPr>
          <w:sz w:val="22"/>
          <w:szCs w:val="22"/>
        </w:rPr>
        <w:t>invaluable</w:t>
      </w:r>
      <w:r w:rsidR="00CA5BBA" w:rsidRPr="006B3D8E">
        <w:rPr>
          <w:sz w:val="22"/>
          <w:szCs w:val="22"/>
        </w:rPr>
        <w:t xml:space="preserve"> in their own way</w:t>
      </w:r>
      <w:r w:rsidR="00252797" w:rsidRPr="006B3D8E">
        <w:rPr>
          <w:sz w:val="22"/>
          <w:szCs w:val="22"/>
        </w:rPr>
        <w:t xml:space="preserve"> to help us focus on politics </w:t>
      </w:r>
      <w:r w:rsidR="00252797" w:rsidRPr="00E4571C">
        <w:rPr>
          <w:i/>
          <w:sz w:val="22"/>
          <w:szCs w:val="22"/>
        </w:rPr>
        <w:t>rather than</w:t>
      </w:r>
      <w:r w:rsidR="00252797" w:rsidRPr="006B3D8E">
        <w:rPr>
          <w:sz w:val="22"/>
          <w:szCs w:val="22"/>
        </w:rPr>
        <w:t xml:space="preserve"> society and economy</w:t>
      </w:r>
      <w:r w:rsidR="009B5CE6">
        <w:rPr>
          <w:sz w:val="22"/>
          <w:szCs w:val="22"/>
        </w:rPr>
        <w:t xml:space="preserve">. </w:t>
      </w:r>
      <w:r w:rsidR="00CA5BBA" w:rsidRPr="006B3D8E">
        <w:rPr>
          <w:sz w:val="22"/>
          <w:szCs w:val="22"/>
        </w:rPr>
        <w:t>Rather, I’m suggesting that for some questi</w:t>
      </w:r>
      <w:r w:rsidR="00252797" w:rsidRPr="006B3D8E">
        <w:rPr>
          <w:sz w:val="22"/>
          <w:szCs w:val="22"/>
        </w:rPr>
        <w:t xml:space="preserve">ons that have to do with changing </w:t>
      </w:r>
      <w:r w:rsidR="006221AF" w:rsidRPr="006B3D8E">
        <w:rPr>
          <w:sz w:val="22"/>
          <w:szCs w:val="22"/>
        </w:rPr>
        <w:t xml:space="preserve">citizen roles and public </w:t>
      </w:r>
      <w:r w:rsidR="00252797" w:rsidRPr="006B3D8E">
        <w:rPr>
          <w:sz w:val="22"/>
          <w:szCs w:val="22"/>
        </w:rPr>
        <w:t>policies</w:t>
      </w:r>
      <w:r w:rsidR="009B5CE6">
        <w:rPr>
          <w:sz w:val="22"/>
          <w:szCs w:val="22"/>
        </w:rPr>
        <w:t xml:space="preserve"> </w:t>
      </w:r>
      <w:r w:rsidRPr="006B3D8E">
        <w:rPr>
          <w:sz w:val="22"/>
          <w:szCs w:val="22"/>
        </w:rPr>
        <w:t xml:space="preserve">– </w:t>
      </w:r>
      <w:r w:rsidR="00CD45FA" w:rsidRPr="006B3D8E">
        <w:rPr>
          <w:sz w:val="22"/>
          <w:szCs w:val="22"/>
        </w:rPr>
        <w:t xml:space="preserve">all of which </w:t>
      </w:r>
      <w:r w:rsidR="00CD45FA" w:rsidRPr="006B3D8E">
        <w:rPr>
          <w:sz w:val="22"/>
          <w:szCs w:val="22"/>
        </w:rPr>
        <w:lastRenderedPageBreak/>
        <w:t>we might call “the new civics”</w:t>
      </w:r>
      <w:r w:rsidR="00AE709C" w:rsidRPr="006B3D8E">
        <w:rPr>
          <w:sz w:val="22"/>
          <w:szCs w:val="22"/>
        </w:rPr>
        <w:t xml:space="preserve"> </w:t>
      </w:r>
      <w:proofErr w:type="gramStart"/>
      <w:r w:rsidR="00AE709C" w:rsidRPr="006B3D8E">
        <w:rPr>
          <w:sz w:val="22"/>
          <w:szCs w:val="22"/>
        </w:rPr>
        <w:t xml:space="preserve">-- </w:t>
      </w:r>
      <w:r w:rsidR="00C126D0" w:rsidRPr="006B3D8E">
        <w:rPr>
          <w:sz w:val="22"/>
          <w:szCs w:val="22"/>
        </w:rPr>
        <w:t xml:space="preserve"> </w:t>
      </w:r>
      <w:r w:rsidR="00AE709C" w:rsidRPr="006B3D8E">
        <w:rPr>
          <w:sz w:val="22"/>
          <w:szCs w:val="22"/>
        </w:rPr>
        <w:t>we</w:t>
      </w:r>
      <w:proofErr w:type="gramEnd"/>
      <w:r w:rsidR="00AE709C" w:rsidRPr="006B3D8E">
        <w:rPr>
          <w:sz w:val="22"/>
          <w:szCs w:val="22"/>
        </w:rPr>
        <w:t xml:space="preserve"> need a method that allows </w:t>
      </w:r>
      <w:r w:rsidR="00252797" w:rsidRPr="006B3D8E">
        <w:rPr>
          <w:sz w:val="22"/>
          <w:szCs w:val="22"/>
        </w:rPr>
        <w:t xml:space="preserve">us </w:t>
      </w:r>
      <w:r w:rsidR="00AE709C" w:rsidRPr="006B3D8E">
        <w:rPr>
          <w:sz w:val="22"/>
          <w:szCs w:val="22"/>
        </w:rPr>
        <w:t xml:space="preserve">to see the political work that individuals do to form </w:t>
      </w:r>
      <w:r w:rsidR="00D03689" w:rsidRPr="006B3D8E">
        <w:rPr>
          <w:sz w:val="22"/>
          <w:szCs w:val="22"/>
        </w:rPr>
        <w:t xml:space="preserve">new </w:t>
      </w:r>
      <w:r w:rsidR="00AE709C" w:rsidRPr="006B3D8E">
        <w:rPr>
          <w:sz w:val="22"/>
          <w:szCs w:val="22"/>
        </w:rPr>
        <w:t>associations</w:t>
      </w:r>
      <w:r w:rsidR="00D03689" w:rsidRPr="006B3D8E">
        <w:rPr>
          <w:sz w:val="22"/>
          <w:szCs w:val="22"/>
        </w:rPr>
        <w:t xml:space="preserve"> among people and concepts</w:t>
      </w:r>
      <w:r w:rsidR="00AE709C" w:rsidRPr="006B3D8E">
        <w:rPr>
          <w:sz w:val="22"/>
          <w:szCs w:val="22"/>
        </w:rPr>
        <w:t xml:space="preserve"> (</w:t>
      </w:r>
      <w:r w:rsidR="00252797" w:rsidRPr="006B3D8E">
        <w:rPr>
          <w:sz w:val="22"/>
          <w:szCs w:val="22"/>
        </w:rPr>
        <w:t xml:space="preserve">a.k.a. </w:t>
      </w:r>
      <w:r w:rsidR="00AE709C" w:rsidRPr="006B3D8E">
        <w:rPr>
          <w:sz w:val="22"/>
          <w:szCs w:val="22"/>
        </w:rPr>
        <w:t>relationships, gr</w:t>
      </w:r>
      <w:r w:rsidR="008F05CD" w:rsidRPr="006B3D8E">
        <w:rPr>
          <w:sz w:val="22"/>
          <w:szCs w:val="22"/>
        </w:rPr>
        <w:t>oups, networks) that are both</w:t>
      </w:r>
      <w:r w:rsidR="00AE709C" w:rsidRPr="006B3D8E">
        <w:rPr>
          <w:sz w:val="22"/>
          <w:szCs w:val="22"/>
        </w:rPr>
        <w:t xml:space="preserve"> new </w:t>
      </w:r>
      <w:r w:rsidR="00AE709C" w:rsidRPr="006B3D8E">
        <w:rPr>
          <w:i/>
          <w:sz w:val="22"/>
          <w:szCs w:val="22"/>
        </w:rPr>
        <w:t>and</w:t>
      </w:r>
      <w:r w:rsidR="00AE709C" w:rsidRPr="006B3D8E">
        <w:rPr>
          <w:sz w:val="22"/>
          <w:szCs w:val="22"/>
        </w:rPr>
        <w:t xml:space="preserve"> infused with the institutional and societal stuff that we are </w:t>
      </w:r>
      <w:r w:rsidR="00252797" w:rsidRPr="006B3D8E">
        <w:rPr>
          <w:sz w:val="22"/>
          <w:szCs w:val="22"/>
        </w:rPr>
        <w:t>(otherwise) only too inclined</w:t>
      </w:r>
      <w:r w:rsidR="00AE709C" w:rsidRPr="006B3D8E">
        <w:rPr>
          <w:sz w:val="22"/>
          <w:szCs w:val="22"/>
        </w:rPr>
        <w:t xml:space="preserve"> to reference when we </w:t>
      </w:r>
      <w:r w:rsidR="008F05CD" w:rsidRPr="006B3D8E">
        <w:rPr>
          <w:sz w:val="22"/>
          <w:szCs w:val="22"/>
        </w:rPr>
        <w:t>try to compre</w:t>
      </w:r>
      <w:r w:rsidR="00252797" w:rsidRPr="006B3D8E">
        <w:rPr>
          <w:sz w:val="22"/>
          <w:szCs w:val="22"/>
        </w:rPr>
        <w:t>hend the new.  We often are inclined to say</w:t>
      </w:r>
      <w:r w:rsidR="008F05CD" w:rsidRPr="006B3D8E">
        <w:rPr>
          <w:sz w:val="22"/>
          <w:szCs w:val="22"/>
        </w:rPr>
        <w:t xml:space="preserve"> that a</w:t>
      </w:r>
      <w:r w:rsidR="00AE709C" w:rsidRPr="006B3D8E">
        <w:rPr>
          <w:sz w:val="22"/>
          <w:szCs w:val="22"/>
        </w:rPr>
        <w:t xml:space="preserve"> new group is not so new b</w:t>
      </w:r>
      <w:r w:rsidR="009B5CE6">
        <w:rPr>
          <w:sz w:val="22"/>
          <w:szCs w:val="22"/>
        </w:rPr>
        <w:t xml:space="preserve">ecause we already know it </w:t>
      </w:r>
      <w:r w:rsidR="008F05CD" w:rsidRPr="006B3D8E">
        <w:rPr>
          <w:sz w:val="22"/>
          <w:szCs w:val="22"/>
        </w:rPr>
        <w:t>and therefore not</w:t>
      </w:r>
      <w:r w:rsidR="00AE709C" w:rsidRPr="006B3D8E">
        <w:rPr>
          <w:sz w:val="22"/>
          <w:szCs w:val="22"/>
        </w:rPr>
        <w:t xml:space="preserve"> a novel movement of individuals who are creating their own ways to mobilize</w:t>
      </w:r>
      <w:r w:rsidR="00D03689" w:rsidRPr="006B3D8E">
        <w:rPr>
          <w:sz w:val="22"/>
          <w:szCs w:val="22"/>
        </w:rPr>
        <w:t xml:space="preserve"> power by assembling</w:t>
      </w:r>
      <w:r w:rsidR="00AE709C" w:rsidRPr="006B3D8E">
        <w:rPr>
          <w:sz w:val="22"/>
          <w:szCs w:val="22"/>
        </w:rPr>
        <w:t xml:space="preserve"> events, concepts, links, history, institutions, and potentially all that stuff that’s already out there </w:t>
      </w:r>
      <w:r w:rsidR="00D03689" w:rsidRPr="006B3D8E">
        <w:rPr>
          <w:sz w:val="22"/>
          <w:szCs w:val="22"/>
        </w:rPr>
        <w:t xml:space="preserve">in new ways </w:t>
      </w:r>
      <w:r w:rsidR="00AE709C" w:rsidRPr="006B3D8E">
        <w:rPr>
          <w:sz w:val="22"/>
          <w:szCs w:val="22"/>
        </w:rPr>
        <w:t xml:space="preserve">in order to get what they think they want/need. </w:t>
      </w:r>
      <w:r w:rsidR="009B5CE6">
        <w:rPr>
          <w:sz w:val="22"/>
          <w:szCs w:val="22"/>
        </w:rPr>
        <w:t xml:space="preserve"> </w:t>
      </w:r>
    </w:p>
    <w:p w:rsidR="00790BF8" w:rsidRPr="006B3D8E" w:rsidRDefault="00EB1FD1" w:rsidP="009B5CE6">
      <w:pPr>
        <w:spacing w:line="480" w:lineRule="auto"/>
        <w:ind w:firstLine="720"/>
        <w:rPr>
          <w:sz w:val="22"/>
          <w:szCs w:val="22"/>
        </w:rPr>
      </w:pPr>
      <w:r w:rsidRPr="006B3D8E">
        <w:rPr>
          <w:sz w:val="22"/>
          <w:szCs w:val="22"/>
        </w:rPr>
        <w:t xml:space="preserve">What happens in ostensibly much more formalized </w:t>
      </w:r>
      <w:r w:rsidR="00DB1D4C" w:rsidRPr="006B3D8E">
        <w:rPr>
          <w:sz w:val="22"/>
          <w:szCs w:val="22"/>
        </w:rPr>
        <w:t xml:space="preserve">politics is similar…. </w:t>
      </w:r>
      <w:r w:rsidR="007A4441" w:rsidRPr="006B3D8E">
        <w:rPr>
          <w:sz w:val="22"/>
          <w:szCs w:val="22"/>
        </w:rPr>
        <w:t xml:space="preserve"> The institutions that we take as authoritative enforcers of rules – regulatory agencies, for example – are always at work and expending energy to sustain the standards and stability of relationships among specific identified groups that</w:t>
      </w:r>
      <w:r w:rsidR="00053BA2" w:rsidRPr="006B3D8E">
        <w:rPr>
          <w:sz w:val="22"/>
          <w:szCs w:val="22"/>
        </w:rPr>
        <w:t xml:space="preserve"> (we typically assume, mostly correctly) helps those groups accomplish goals that they and the authoritative agency jointly support.  But that work and energy are not given and the nature and extent and direction of the relationships between the officials and the groups – not to mention the “</w:t>
      </w:r>
      <w:proofErr w:type="spellStart"/>
      <w:r w:rsidR="00053BA2" w:rsidRPr="006B3D8E">
        <w:rPr>
          <w:sz w:val="22"/>
          <w:szCs w:val="22"/>
        </w:rPr>
        <w:t>groupness</w:t>
      </w:r>
      <w:proofErr w:type="spellEnd"/>
      <w:r w:rsidR="00053BA2" w:rsidRPr="006B3D8E">
        <w:rPr>
          <w:sz w:val="22"/>
          <w:szCs w:val="22"/>
        </w:rPr>
        <w:t xml:space="preserve">” of the group -- is a constant condition of renewal. </w:t>
      </w:r>
      <w:r w:rsidR="006D2266" w:rsidRPr="006B3D8E">
        <w:rPr>
          <w:sz w:val="22"/>
          <w:szCs w:val="22"/>
        </w:rPr>
        <w:t xml:space="preserve">What I’m suggesting is that </w:t>
      </w:r>
      <w:r w:rsidR="00A330CA" w:rsidRPr="006B3D8E">
        <w:rPr>
          <w:sz w:val="22"/>
          <w:szCs w:val="22"/>
        </w:rPr>
        <w:t>to take social groups and/or government as stable or fixed in order to explain the other is denying what seems obv</w:t>
      </w:r>
      <w:r w:rsidR="00670EFB" w:rsidRPr="006B3D8E">
        <w:rPr>
          <w:sz w:val="22"/>
          <w:szCs w:val="22"/>
        </w:rPr>
        <w:t>ious, namely that we’re seeing r</w:t>
      </w:r>
      <w:r w:rsidR="00A330CA" w:rsidRPr="006B3D8E">
        <w:rPr>
          <w:sz w:val="22"/>
          <w:szCs w:val="22"/>
        </w:rPr>
        <w:t xml:space="preserve">elationships </w:t>
      </w:r>
      <w:r w:rsidR="00670EFB" w:rsidRPr="006B3D8E">
        <w:rPr>
          <w:sz w:val="22"/>
          <w:szCs w:val="22"/>
        </w:rPr>
        <w:t xml:space="preserve">among individuals </w:t>
      </w:r>
      <w:r w:rsidR="00A330CA" w:rsidRPr="006B3D8E">
        <w:rPr>
          <w:sz w:val="22"/>
          <w:szCs w:val="22"/>
        </w:rPr>
        <w:t xml:space="preserve">created and renewing.  </w:t>
      </w:r>
    </w:p>
    <w:p w:rsidR="00513CA7" w:rsidRDefault="00513CA7" w:rsidP="0074551B">
      <w:pPr>
        <w:spacing w:line="480" w:lineRule="auto"/>
        <w:ind w:firstLine="360"/>
      </w:pPr>
    </w:p>
    <w:sectPr w:rsidR="00513CA7" w:rsidSect="00513CA7">
      <w:footerReference w:type="even" r:id="rId8"/>
      <w:footerReference w:type="default" r:id="rId9"/>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F7" w:rsidRDefault="000779F7" w:rsidP="00B10EB7">
      <w:r>
        <w:separator/>
      </w:r>
    </w:p>
  </w:endnote>
  <w:endnote w:type="continuationSeparator" w:id="0">
    <w:p w:rsidR="000779F7" w:rsidRDefault="000779F7" w:rsidP="00B10EB7">
      <w:r>
        <w:continuationSeparator/>
      </w:r>
    </w:p>
  </w:endnote>
  <w:endnote w:id="1">
    <w:p w:rsidR="000779F7" w:rsidRDefault="000779F7" w:rsidP="006D4BBD">
      <w:pPr>
        <w:pStyle w:val="EndnoteText"/>
      </w:pPr>
      <w:r>
        <w:rPr>
          <w:rStyle w:val="EndnoteReference"/>
        </w:rPr>
        <w:endnoteRef/>
      </w:r>
      <w:r>
        <w:t xml:space="preserve"> Good discussion in James Mahoney and Kathleen </w:t>
      </w:r>
      <w:proofErr w:type="spellStart"/>
      <w:r>
        <w:t>Thelen</w:t>
      </w:r>
      <w:proofErr w:type="spellEnd"/>
      <w:r>
        <w:t>, “A Theory of Gradual Institutional Change”, in idem., eds., Explaining Institutional Change (Cambridge University Press, 2010) chapter one.</w:t>
      </w:r>
    </w:p>
  </w:endnote>
  <w:endnote w:id="2">
    <w:p w:rsidR="000779F7" w:rsidRDefault="000779F7" w:rsidP="00041EE8">
      <w:pPr>
        <w:pStyle w:val="EndnoteText"/>
      </w:pPr>
      <w:r>
        <w:rPr>
          <w:rStyle w:val="EndnoteReference"/>
        </w:rPr>
        <w:endnoteRef/>
      </w:r>
      <w:r>
        <w:t xml:space="preserve"> Mahoney and </w:t>
      </w:r>
      <w:proofErr w:type="spellStart"/>
      <w:r>
        <w:t>Thelen</w:t>
      </w:r>
      <w:proofErr w:type="spellEnd"/>
      <w:r>
        <w:t xml:space="preserve">.  Desmond King and Marc </w:t>
      </w:r>
      <w:proofErr w:type="spellStart"/>
      <w:r>
        <w:t>Stears</w:t>
      </w:r>
      <w:proofErr w:type="spellEnd"/>
      <w:r>
        <w:t>, “How the U.S. State Works: A Theory of Standardization”, Perspectives on Politics vol. 9, no. 3 (September 2011) pp. 505-18.</w:t>
      </w:r>
    </w:p>
    <w:p w:rsidR="000779F7" w:rsidRDefault="000779F7">
      <w:pPr>
        <w:pStyle w:val="EndnoteText"/>
      </w:pPr>
      <w:r>
        <w:t xml:space="preserve"> Cf. </w:t>
      </w:r>
      <w:proofErr w:type="spellStart"/>
      <w:r>
        <w:t>Thelen</w:t>
      </w:r>
      <w:proofErr w:type="spellEnd"/>
      <w:r>
        <w:t xml:space="preserve"> in Comparative Handbook. </w:t>
      </w:r>
    </w:p>
  </w:endnote>
  <w:endnote w:id="3">
    <w:p w:rsidR="000779F7" w:rsidRDefault="000779F7" w:rsidP="00B72425">
      <w:pPr>
        <w:pStyle w:val="EndnoteText"/>
      </w:pPr>
      <w:r>
        <w:rPr>
          <w:rStyle w:val="EndnoteReference"/>
        </w:rPr>
        <w:endnoteRef/>
      </w:r>
      <w:r>
        <w:t xml:space="preserve"> Ansell, Pragmatist Democracy: Evolutionary Learning as Public Philosophy (London: Oxford University Press, 2011).</w:t>
      </w:r>
    </w:p>
  </w:endnote>
  <w:endnote w:id="4">
    <w:p w:rsidR="000779F7" w:rsidRPr="009E51D6" w:rsidRDefault="000779F7" w:rsidP="009E51D6">
      <w:pPr>
        <w:pStyle w:val="EndnoteText"/>
      </w:pPr>
      <w:r>
        <w:rPr>
          <w:rStyle w:val="EndnoteReference"/>
        </w:rPr>
        <w:endnoteRef/>
      </w:r>
      <w:r>
        <w:t xml:space="preserve"> Ansell, pp. 26-7.  Following Dewey. </w:t>
      </w:r>
    </w:p>
  </w:endnote>
  <w:endnote w:id="5">
    <w:p w:rsidR="000779F7" w:rsidRPr="009E51D6" w:rsidRDefault="000779F7" w:rsidP="009E51D6">
      <w:pPr>
        <w:pStyle w:val="EndnoteText"/>
      </w:pPr>
      <w:r w:rsidRPr="009E51D6">
        <w:rPr>
          <w:rStyle w:val="EndnoteReference"/>
        </w:rPr>
        <w:endnoteRef/>
      </w:r>
      <w:r w:rsidRPr="009E51D6">
        <w:t xml:space="preserve"> Ansell, pp. 30-2.</w:t>
      </w:r>
    </w:p>
  </w:endnote>
  <w:endnote w:id="6">
    <w:p w:rsidR="000779F7" w:rsidRPr="009E51D6" w:rsidRDefault="000779F7" w:rsidP="009E51D6">
      <w:pPr>
        <w:autoSpaceDE w:val="0"/>
        <w:autoSpaceDN w:val="0"/>
        <w:adjustRightInd w:val="0"/>
        <w:rPr>
          <w:rFonts w:ascii="Times New Roman" w:hAnsi="Times New Roman"/>
          <w:sz w:val="20"/>
        </w:rPr>
      </w:pPr>
      <w:r w:rsidRPr="009E51D6">
        <w:rPr>
          <w:rStyle w:val="EndnoteReference"/>
          <w:sz w:val="20"/>
        </w:rPr>
        <w:endnoteRef/>
      </w:r>
      <w:r w:rsidRPr="009E51D6">
        <w:rPr>
          <w:sz w:val="20"/>
        </w:rPr>
        <w:t xml:space="preserve"> </w:t>
      </w:r>
      <w:proofErr w:type="gramStart"/>
      <w:r w:rsidRPr="009E51D6">
        <w:rPr>
          <w:sz w:val="20"/>
        </w:rPr>
        <w:t>Mary Douglas, How Institutions Think</w:t>
      </w:r>
      <w:r>
        <w:rPr>
          <w:sz w:val="20"/>
        </w:rPr>
        <w:t xml:space="preserve"> (1986)</w:t>
      </w:r>
      <w:r w:rsidRPr="009E51D6">
        <w:rPr>
          <w:sz w:val="20"/>
        </w:rPr>
        <w:t>.</w:t>
      </w:r>
      <w:proofErr w:type="gramEnd"/>
      <w:r w:rsidRPr="009E51D6">
        <w:rPr>
          <w:sz w:val="20"/>
        </w:rPr>
        <w:t xml:space="preserve">  </w:t>
      </w:r>
      <w:r w:rsidRPr="009E51D6">
        <w:rPr>
          <w:rFonts w:ascii="Times New Roman" w:hAnsi="Times New Roman"/>
          <w:sz w:val="20"/>
        </w:rPr>
        <w:t>Margaret Archer, Structure, Agency, and the Internal Conversation (New York: Camb</w:t>
      </w:r>
      <w:r>
        <w:rPr>
          <w:rFonts w:ascii="Times New Roman" w:hAnsi="Times New Roman"/>
          <w:sz w:val="20"/>
        </w:rPr>
        <w:t xml:space="preserve">ridge University Press, 2003). </w:t>
      </w:r>
    </w:p>
  </w:endnote>
  <w:endnote w:id="7">
    <w:p w:rsidR="000779F7" w:rsidRDefault="000779F7">
      <w:pPr>
        <w:pStyle w:val="EndnoteText"/>
      </w:pPr>
      <w:r>
        <w:rPr>
          <w:rStyle w:val="EndnoteReference"/>
        </w:rPr>
        <w:endnoteRef/>
      </w:r>
      <w:r>
        <w:t xml:space="preserve"> Daniel Galvin, Studies in American Political Development 26 (April 2012) pp. 50-70.</w:t>
      </w:r>
    </w:p>
  </w:endnote>
  <w:endnote w:id="8">
    <w:p w:rsidR="000779F7" w:rsidRDefault="000779F7">
      <w:pPr>
        <w:pStyle w:val="EndnoteText"/>
      </w:pPr>
      <w:r>
        <w:rPr>
          <w:rStyle w:val="EndnoteReference"/>
        </w:rPr>
        <w:endnoteRef/>
      </w:r>
      <w:r>
        <w:t xml:space="preserve"> </w:t>
      </w:r>
      <w:proofErr w:type="gramStart"/>
      <w:r>
        <w:t>Ansell, pp. 45-47f.</w:t>
      </w:r>
      <w:proofErr w:type="gramEnd"/>
      <w:r>
        <w:t xml:space="preserve"> </w:t>
      </w:r>
    </w:p>
  </w:endnote>
  <w:endnote w:id="9">
    <w:p w:rsidR="000779F7" w:rsidRDefault="000779F7" w:rsidP="0065186C">
      <w:pPr>
        <w:pStyle w:val="EndnoteText"/>
      </w:pPr>
      <w:r>
        <w:rPr>
          <w:rStyle w:val="EndnoteReference"/>
        </w:rPr>
        <w:endnoteRef/>
      </w:r>
      <w:r>
        <w:t xml:space="preserve"> Zachary </w:t>
      </w:r>
      <w:proofErr w:type="spellStart"/>
      <w:r>
        <w:t>Callen</w:t>
      </w:r>
      <w:proofErr w:type="spellEnd"/>
      <w:r>
        <w:t xml:space="preserve">, “Local Rail Innovations: Antebellum States and Policy Diffusion”, Studies in American Political Development, volume 25, no. 2 (2011) pp. 117-42. </w:t>
      </w:r>
    </w:p>
  </w:endnote>
  <w:endnote w:id="10">
    <w:p w:rsidR="000779F7" w:rsidRDefault="000779F7" w:rsidP="009B7484">
      <w:pPr>
        <w:pStyle w:val="EndnoteText"/>
      </w:pPr>
      <w:r>
        <w:rPr>
          <w:rStyle w:val="EndnoteReference"/>
        </w:rPr>
        <w:endnoteRef/>
      </w:r>
      <w:r>
        <w:t xml:space="preserve"> King and </w:t>
      </w:r>
      <w:proofErr w:type="spellStart"/>
      <w:r>
        <w:t>Stears</w:t>
      </w:r>
      <w:proofErr w:type="spellEnd"/>
      <w:r>
        <w:t>, “How the U.S. State Works: A Theory of Standardization”, Perspectives on Politics vol. 9, no. 3 (September 2011) pp. 505-18.</w:t>
      </w:r>
    </w:p>
  </w:endnote>
  <w:endnote w:id="11">
    <w:p w:rsidR="000779F7" w:rsidRDefault="000779F7">
      <w:pPr>
        <w:pStyle w:val="EndnoteText"/>
      </w:pPr>
      <w:r>
        <w:rPr>
          <w:rStyle w:val="EndnoteReference"/>
        </w:rPr>
        <w:endnoteRef/>
      </w:r>
      <w:r>
        <w:t xml:space="preserve"> Leigh Graham, “Advancing the Human Right to Housing in post-Katrina New Orleans: Discursive Opportunity Structures in Housing and Community Development”, Housing Policy Debate, vol. 22, no. 1 (January 2012) pp. 5-27. </w:t>
      </w:r>
    </w:p>
  </w:endnote>
  <w:endnote w:id="12">
    <w:p w:rsidR="000779F7" w:rsidRPr="00A96BA9" w:rsidRDefault="000779F7" w:rsidP="00A96BA9">
      <w:pPr>
        <w:pStyle w:val="EndnoteText"/>
      </w:pPr>
      <w:r>
        <w:rPr>
          <w:rStyle w:val="EndnoteReference"/>
        </w:rPr>
        <w:endnoteRef/>
      </w:r>
      <w:r>
        <w:t xml:space="preserve"> </w:t>
      </w:r>
      <w:proofErr w:type="spellStart"/>
      <w:r>
        <w:t>Latour</w:t>
      </w:r>
      <w:proofErr w:type="spellEnd"/>
      <w:r>
        <w:t>, pp. 49-51.</w:t>
      </w:r>
    </w:p>
  </w:endnote>
  <w:endnote w:id="13">
    <w:p w:rsidR="000779F7" w:rsidRPr="00A96BA9" w:rsidRDefault="000779F7" w:rsidP="00A96BA9">
      <w:pPr>
        <w:pStyle w:val="EndnoteText"/>
      </w:pPr>
      <w:r w:rsidRPr="00A96BA9">
        <w:rPr>
          <w:rStyle w:val="EndnoteReference"/>
        </w:rPr>
        <w:endnoteRef/>
      </w:r>
      <w:r w:rsidRPr="00A96BA9">
        <w:t xml:space="preserve"> Charles </w:t>
      </w:r>
      <w:proofErr w:type="spellStart"/>
      <w:r w:rsidRPr="00A96BA9">
        <w:t>Sabel</w:t>
      </w:r>
      <w:proofErr w:type="spellEnd"/>
      <w:r w:rsidRPr="00A96BA9">
        <w:t xml:space="preserve"> and Jonathan </w:t>
      </w:r>
      <w:proofErr w:type="spellStart"/>
      <w:r w:rsidRPr="00A96BA9">
        <w:t>Zeitlin</w:t>
      </w:r>
      <w:proofErr w:type="spellEnd"/>
      <w:r w:rsidRPr="00A96BA9">
        <w:t xml:space="preserve">, “Stories, Strategies, Structure: Rethinking Historical Alternatives to Mass Production”, in </w:t>
      </w:r>
      <w:proofErr w:type="spellStart"/>
      <w:r w:rsidRPr="00A96BA9">
        <w:t>Sabel</w:t>
      </w:r>
      <w:proofErr w:type="spellEnd"/>
      <w:r w:rsidRPr="00A96BA9">
        <w:t xml:space="preserve"> and </w:t>
      </w:r>
      <w:proofErr w:type="spellStart"/>
      <w:r w:rsidRPr="00A96BA9">
        <w:t>Zeitlin</w:t>
      </w:r>
      <w:proofErr w:type="spellEnd"/>
      <w:r w:rsidRPr="00A96BA9">
        <w:t xml:space="preserve">, eds., </w:t>
      </w:r>
      <w:r w:rsidRPr="00A96BA9">
        <w:rPr>
          <w:i/>
        </w:rPr>
        <w:t>Worlds of Possibility</w:t>
      </w:r>
      <w:r w:rsidRPr="00A96BA9">
        <w:t xml:space="preserve"> (Cambridge:  Cambridge University Press, 1997), 1-33.  Gerald Berk and Marc </w:t>
      </w:r>
      <w:proofErr w:type="spellStart"/>
      <w:r w:rsidRPr="00A96BA9">
        <w:t>Schneiberg</w:t>
      </w:r>
      <w:proofErr w:type="spellEnd"/>
      <w:r w:rsidRPr="00A96BA9">
        <w:t xml:space="preserve">, “Varieties of Capitalism, Varieties of Association: Collaborative Learning in American Industry, 1900-1925,” </w:t>
      </w:r>
      <w:r w:rsidRPr="00A96BA9">
        <w:rPr>
          <w:i/>
        </w:rPr>
        <w:t>Politics &amp; Society</w:t>
      </w:r>
      <w:r w:rsidRPr="00A96BA9">
        <w:t xml:space="preserve"> 33, no. 1:  46-87.</w:t>
      </w:r>
    </w:p>
  </w:endnote>
  <w:endnote w:id="14">
    <w:p w:rsidR="000779F7" w:rsidRPr="00A96BA9" w:rsidRDefault="000779F7" w:rsidP="00A96BA9">
      <w:pPr>
        <w:pStyle w:val="EndnoteText"/>
      </w:pPr>
      <w:r w:rsidRPr="00A96BA9">
        <w:rPr>
          <w:rStyle w:val="EndnoteReference"/>
        </w:rPr>
        <w:endnoteRef/>
      </w:r>
      <w:r w:rsidRPr="00A96BA9">
        <w:t xml:space="preserve"> Cf. Stephen </w:t>
      </w:r>
      <w:proofErr w:type="spellStart"/>
      <w:r w:rsidRPr="00A96BA9">
        <w:t>Skowronek</w:t>
      </w:r>
      <w:proofErr w:type="spellEnd"/>
      <w:r w:rsidRPr="00A96BA9">
        <w:t xml:space="preserve">, </w:t>
      </w:r>
      <w:r w:rsidRPr="00A96BA9">
        <w:rPr>
          <w:i/>
        </w:rPr>
        <w:t>The Politics Presidents Make: Leadership from John Adams to Bill Clinton</w:t>
      </w:r>
      <w:r w:rsidRPr="00A96BA9">
        <w:t xml:space="preserve"> (Cambridge MA: Belknap Press, 1997).</w:t>
      </w:r>
    </w:p>
  </w:endnote>
  <w:endnote w:id="15">
    <w:p w:rsidR="000779F7" w:rsidRPr="00A96BA9" w:rsidRDefault="000779F7" w:rsidP="00A96BA9">
      <w:pPr>
        <w:rPr>
          <w:sz w:val="20"/>
          <w:szCs w:val="20"/>
        </w:rPr>
      </w:pPr>
      <w:r w:rsidRPr="00A96BA9">
        <w:rPr>
          <w:rStyle w:val="EndnoteReference"/>
          <w:sz w:val="20"/>
          <w:szCs w:val="20"/>
        </w:rPr>
        <w:endnoteRef/>
      </w:r>
      <w:r w:rsidRPr="00A96BA9">
        <w:rPr>
          <w:sz w:val="20"/>
          <w:szCs w:val="20"/>
        </w:rPr>
        <w:t xml:space="preserve"> Amberg, </w:t>
      </w:r>
      <w:r w:rsidRPr="00A96BA9">
        <w:rPr>
          <w:i/>
          <w:sz w:val="20"/>
          <w:szCs w:val="20"/>
        </w:rPr>
        <w:t>Union Inspiration</w:t>
      </w:r>
      <w:r w:rsidRPr="00A96BA9">
        <w:rPr>
          <w:sz w:val="20"/>
          <w:szCs w:val="20"/>
        </w:rPr>
        <w:t xml:space="preserve">, op. cit.  John Dunlop, </w:t>
      </w:r>
      <w:r w:rsidRPr="00A96BA9">
        <w:rPr>
          <w:i/>
          <w:sz w:val="20"/>
          <w:szCs w:val="20"/>
        </w:rPr>
        <w:t>Industrial Relations Systems</w:t>
      </w:r>
      <w:r w:rsidRPr="00A96BA9">
        <w:rPr>
          <w:sz w:val="20"/>
          <w:szCs w:val="20"/>
        </w:rPr>
        <w:t xml:space="preserve"> (Carbondale:  University of Southern Illinois University Press, 1957). Ira Katznelson and Sean </w:t>
      </w:r>
      <w:proofErr w:type="spellStart"/>
      <w:r w:rsidRPr="00A96BA9">
        <w:rPr>
          <w:sz w:val="20"/>
          <w:szCs w:val="20"/>
        </w:rPr>
        <w:t>Farhang</w:t>
      </w:r>
      <w:proofErr w:type="spellEnd"/>
      <w:r w:rsidRPr="00A96BA9">
        <w:rPr>
          <w:sz w:val="20"/>
          <w:szCs w:val="20"/>
        </w:rPr>
        <w:t xml:space="preserve">, “The Southern Imposition:  Congress and Labor in the New Deal and Fair Deal,” in </w:t>
      </w:r>
      <w:r w:rsidRPr="00A96BA9">
        <w:rPr>
          <w:i/>
          <w:sz w:val="20"/>
          <w:szCs w:val="20"/>
        </w:rPr>
        <w:t>Studies in American Political Development</w:t>
      </w:r>
      <w:r w:rsidRPr="00A96BA9">
        <w:rPr>
          <w:sz w:val="20"/>
          <w:szCs w:val="20"/>
        </w:rPr>
        <w:t xml:space="preserve"> 19 (Spring 2005): 1-30. </w:t>
      </w:r>
    </w:p>
  </w:endnote>
  <w:endnote w:id="16">
    <w:p w:rsidR="000779F7" w:rsidRPr="00A96BA9" w:rsidRDefault="000779F7" w:rsidP="00A96BA9">
      <w:pPr>
        <w:pStyle w:val="EndnoteText"/>
      </w:pPr>
      <w:r w:rsidRPr="00A96BA9">
        <w:rPr>
          <w:rStyle w:val="EndnoteReference"/>
        </w:rPr>
        <w:endnoteRef/>
      </w:r>
      <w:r w:rsidRPr="00A96BA9">
        <w:t xml:space="preserve"> Marie Gottschalk, </w:t>
      </w:r>
      <w:proofErr w:type="gramStart"/>
      <w:r w:rsidRPr="00A96BA9">
        <w:rPr>
          <w:i/>
        </w:rPr>
        <w:t>The</w:t>
      </w:r>
      <w:proofErr w:type="gramEnd"/>
      <w:r w:rsidRPr="00A96BA9">
        <w:rPr>
          <w:i/>
        </w:rPr>
        <w:t xml:space="preserve"> Shadow Welfare State</w:t>
      </w:r>
      <w:r w:rsidRPr="00A96BA9">
        <w:t xml:space="preserve"> (Ithaca: Cornell University Press, 2000). </w:t>
      </w:r>
    </w:p>
  </w:endnote>
  <w:endnote w:id="17">
    <w:p w:rsidR="000779F7" w:rsidRPr="00A96BA9" w:rsidRDefault="000779F7" w:rsidP="00A96BA9">
      <w:pPr>
        <w:pStyle w:val="EndnoteText"/>
      </w:pPr>
      <w:r w:rsidRPr="00A96BA9">
        <w:rPr>
          <w:rStyle w:val="EndnoteReference"/>
        </w:rPr>
        <w:endnoteRef/>
      </w:r>
      <w:r w:rsidRPr="00A96BA9">
        <w:t xml:space="preserve"> Harry C. Katz, </w:t>
      </w:r>
      <w:r w:rsidRPr="00A96BA9">
        <w:rPr>
          <w:i/>
        </w:rPr>
        <w:t>Shifting Gears: Changing Labor Relations in the U.S. Automobile Industry</w:t>
      </w:r>
      <w:r w:rsidRPr="00A96BA9">
        <w:t xml:space="preserve"> (Cambridge: MIT Press, 1985): 14f.</w:t>
      </w:r>
    </w:p>
  </w:endnote>
  <w:endnote w:id="18">
    <w:p w:rsidR="000779F7" w:rsidRPr="00A96BA9" w:rsidRDefault="000779F7" w:rsidP="00A96BA9">
      <w:pPr>
        <w:pStyle w:val="EndnoteText"/>
      </w:pPr>
      <w:r w:rsidRPr="00A96BA9">
        <w:rPr>
          <w:rStyle w:val="EndnoteReference"/>
        </w:rPr>
        <w:endnoteRef/>
      </w:r>
      <w:r w:rsidRPr="00A96BA9">
        <w:t xml:space="preserve"> Paul </w:t>
      </w:r>
      <w:proofErr w:type="spellStart"/>
      <w:r w:rsidRPr="00A96BA9">
        <w:t>Frymer</w:t>
      </w:r>
      <w:proofErr w:type="spellEnd"/>
      <w:r w:rsidRPr="00A96BA9">
        <w:t xml:space="preserve">, </w:t>
      </w:r>
      <w:r w:rsidRPr="00A96BA9">
        <w:rPr>
          <w:i/>
        </w:rPr>
        <w:t>Black and Blue: African Americans, the Labor Movement, and the Decline of the Democratic Party</w:t>
      </w:r>
      <w:r w:rsidRPr="00A96BA9">
        <w:t xml:space="preserve"> (Princeton:  Princeton University Press, 2008).  </w:t>
      </w:r>
      <w:proofErr w:type="gramStart"/>
      <w:r w:rsidRPr="00A96BA9">
        <w:t xml:space="preserve">Robert Lieberman, </w:t>
      </w:r>
      <w:r w:rsidRPr="00A96BA9">
        <w:rPr>
          <w:i/>
        </w:rPr>
        <w:t>Shifting the Color Line</w:t>
      </w:r>
      <w:r w:rsidRPr="00A96BA9">
        <w:t xml:space="preserve"> (Cambridge:  Harvard University Press, 1998).</w:t>
      </w:r>
      <w:proofErr w:type="gramEnd"/>
    </w:p>
  </w:endnote>
  <w:endnote w:id="19">
    <w:p w:rsidR="000779F7" w:rsidRPr="00A96BA9" w:rsidRDefault="000779F7" w:rsidP="00A96BA9">
      <w:pPr>
        <w:pStyle w:val="EndnoteText"/>
      </w:pPr>
      <w:r w:rsidRPr="00A96BA9">
        <w:rPr>
          <w:rStyle w:val="EndnoteReference"/>
        </w:rPr>
        <w:endnoteRef/>
      </w:r>
      <w:r w:rsidRPr="00A96BA9">
        <w:t xml:space="preserve"> </w:t>
      </w:r>
      <w:proofErr w:type="gramStart"/>
      <w:r w:rsidRPr="00A96BA9">
        <w:t xml:space="preserve">Robert Lieberman, </w:t>
      </w:r>
      <w:r w:rsidRPr="00A96BA9">
        <w:rPr>
          <w:i/>
        </w:rPr>
        <w:t>Shifting the Color Line</w:t>
      </w:r>
      <w:r w:rsidRPr="00A96BA9">
        <w:t xml:space="preserve"> (Cambridge:  Harvard University Press, 1998).</w:t>
      </w:r>
      <w:proofErr w:type="gramEnd"/>
    </w:p>
  </w:endnote>
  <w:endnote w:id="20">
    <w:p w:rsidR="000779F7" w:rsidRPr="00A96BA9" w:rsidRDefault="000779F7" w:rsidP="00A96BA9">
      <w:pPr>
        <w:pStyle w:val="EndnoteText"/>
      </w:pPr>
      <w:r w:rsidRPr="00A96BA9">
        <w:rPr>
          <w:rStyle w:val="EndnoteReference"/>
        </w:rPr>
        <w:endnoteRef/>
      </w:r>
      <w:r w:rsidRPr="00A96BA9">
        <w:t xml:space="preserve"> Eric Parker, </w:t>
      </w:r>
      <w:r w:rsidRPr="00A96BA9">
        <w:rPr>
          <w:i/>
        </w:rPr>
        <w:t>Inside the Circle: A Union Guide to QWL</w:t>
      </w:r>
      <w:r w:rsidRPr="00A96BA9">
        <w:t xml:space="preserve"> (Boston: South End Press/Labor Notes, 1985).  Richard Walton, “From Control to Commitment in the Workplace,” in </w:t>
      </w:r>
      <w:r w:rsidRPr="00A96BA9">
        <w:rPr>
          <w:i/>
        </w:rPr>
        <w:t>Harvard Business Review</w:t>
      </w:r>
      <w:r w:rsidRPr="00A96BA9">
        <w:t xml:space="preserve"> 63, no. 2 (1985): 76-84.  Thomas </w:t>
      </w:r>
      <w:proofErr w:type="spellStart"/>
      <w:r w:rsidRPr="00A96BA9">
        <w:t>Kochan</w:t>
      </w:r>
      <w:proofErr w:type="spellEnd"/>
      <w:r w:rsidRPr="00A96BA9">
        <w:t xml:space="preserve">, Harry Katz, and Robert </w:t>
      </w:r>
      <w:proofErr w:type="spellStart"/>
      <w:r w:rsidRPr="00A96BA9">
        <w:t>McKersie</w:t>
      </w:r>
      <w:proofErr w:type="spellEnd"/>
      <w:r w:rsidRPr="00A96BA9">
        <w:t xml:space="preserve">, </w:t>
      </w:r>
      <w:proofErr w:type="gramStart"/>
      <w:r w:rsidRPr="00A96BA9">
        <w:rPr>
          <w:i/>
        </w:rPr>
        <w:t>The</w:t>
      </w:r>
      <w:proofErr w:type="gramEnd"/>
      <w:r w:rsidRPr="00A96BA9">
        <w:rPr>
          <w:i/>
        </w:rPr>
        <w:t xml:space="preserve"> Transformation of American Industrial Relations</w:t>
      </w:r>
      <w:r w:rsidRPr="00A96BA9">
        <w:t xml:space="preserve"> (New York: Basic Books, 1986). Barry Bluestone and Irving Bluestone, </w:t>
      </w:r>
      <w:r w:rsidRPr="00A96BA9">
        <w:rPr>
          <w:i/>
        </w:rPr>
        <w:t>Negotiating the Future</w:t>
      </w:r>
      <w:r w:rsidRPr="00A96BA9">
        <w:t xml:space="preserve"> (New York:  Basic Books, 1992):  191-201.</w:t>
      </w:r>
    </w:p>
  </w:endnote>
  <w:endnote w:id="21">
    <w:p w:rsidR="000779F7" w:rsidRPr="00A96BA9" w:rsidRDefault="000779F7" w:rsidP="00A96BA9">
      <w:pPr>
        <w:autoSpaceDE w:val="0"/>
        <w:autoSpaceDN w:val="0"/>
        <w:adjustRightInd w:val="0"/>
        <w:rPr>
          <w:sz w:val="20"/>
          <w:szCs w:val="20"/>
        </w:rPr>
      </w:pPr>
      <w:r w:rsidRPr="00A96BA9">
        <w:rPr>
          <w:rStyle w:val="EndnoteReference"/>
          <w:sz w:val="20"/>
          <w:szCs w:val="20"/>
        </w:rPr>
        <w:endnoteRef/>
      </w:r>
      <w:r w:rsidRPr="00A96BA9">
        <w:rPr>
          <w:sz w:val="20"/>
          <w:szCs w:val="20"/>
        </w:rPr>
        <w:t xml:space="preserve"> John </w:t>
      </w:r>
      <w:proofErr w:type="spellStart"/>
      <w:r w:rsidRPr="00A96BA9">
        <w:rPr>
          <w:sz w:val="20"/>
          <w:szCs w:val="20"/>
        </w:rPr>
        <w:t>Krafick</w:t>
      </w:r>
      <w:proofErr w:type="spellEnd"/>
      <w:r w:rsidRPr="00A96BA9">
        <w:rPr>
          <w:sz w:val="20"/>
          <w:szCs w:val="20"/>
        </w:rPr>
        <w:t xml:space="preserve">, “Triumph of a Lean Production System,” </w:t>
      </w:r>
      <w:r w:rsidRPr="00A96BA9">
        <w:rPr>
          <w:i/>
          <w:iCs/>
          <w:sz w:val="20"/>
          <w:szCs w:val="20"/>
        </w:rPr>
        <w:t>Sloan Management Review</w:t>
      </w:r>
      <w:r w:rsidRPr="00A96BA9">
        <w:rPr>
          <w:sz w:val="20"/>
          <w:szCs w:val="20"/>
        </w:rPr>
        <w:t xml:space="preserve"> 30, no. 1 (1988): 41-52. John Paul </w:t>
      </w:r>
      <w:proofErr w:type="spellStart"/>
      <w:r w:rsidRPr="00A96BA9">
        <w:rPr>
          <w:sz w:val="20"/>
          <w:szCs w:val="20"/>
        </w:rPr>
        <w:t>MacDuffie</w:t>
      </w:r>
      <w:proofErr w:type="spellEnd"/>
      <w:r w:rsidRPr="00A96BA9">
        <w:rPr>
          <w:sz w:val="20"/>
          <w:szCs w:val="20"/>
        </w:rPr>
        <w:t xml:space="preserve"> and John </w:t>
      </w:r>
      <w:proofErr w:type="spellStart"/>
      <w:r w:rsidRPr="00A96BA9">
        <w:rPr>
          <w:sz w:val="20"/>
          <w:szCs w:val="20"/>
        </w:rPr>
        <w:t>Krafcik</w:t>
      </w:r>
      <w:proofErr w:type="spellEnd"/>
      <w:r w:rsidRPr="00A96BA9">
        <w:rPr>
          <w:sz w:val="20"/>
          <w:szCs w:val="20"/>
        </w:rPr>
        <w:t>, “Integrating Technology and Human Resources for High-</w:t>
      </w:r>
    </w:p>
    <w:p w:rsidR="000779F7" w:rsidRPr="00A96BA9" w:rsidRDefault="000779F7" w:rsidP="00A96BA9">
      <w:pPr>
        <w:autoSpaceDE w:val="0"/>
        <w:autoSpaceDN w:val="0"/>
        <w:adjustRightInd w:val="0"/>
        <w:rPr>
          <w:sz w:val="20"/>
          <w:szCs w:val="20"/>
        </w:rPr>
      </w:pPr>
      <w:r w:rsidRPr="00A96BA9">
        <w:rPr>
          <w:sz w:val="20"/>
          <w:szCs w:val="20"/>
        </w:rPr>
        <w:t xml:space="preserve">Performance Manufacturing: Evidence from the International Auto Industry,” in Thomas </w:t>
      </w:r>
      <w:proofErr w:type="spellStart"/>
      <w:r w:rsidRPr="00A96BA9">
        <w:rPr>
          <w:sz w:val="20"/>
          <w:szCs w:val="20"/>
        </w:rPr>
        <w:t>Kochan</w:t>
      </w:r>
      <w:proofErr w:type="spellEnd"/>
      <w:r w:rsidRPr="00A96BA9">
        <w:rPr>
          <w:sz w:val="20"/>
          <w:szCs w:val="20"/>
        </w:rPr>
        <w:t xml:space="preserve"> and Michael </w:t>
      </w:r>
      <w:proofErr w:type="spellStart"/>
      <w:r w:rsidRPr="00A96BA9">
        <w:rPr>
          <w:sz w:val="20"/>
          <w:szCs w:val="20"/>
        </w:rPr>
        <w:t>Useem</w:t>
      </w:r>
      <w:proofErr w:type="spellEnd"/>
      <w:r w:rsidRPr="00A96BA9">
        <w:rPr>
          <w:sz w:val="20"/>
          <w:szCs w:val="20"/>
        </w:rPr>
        <w:t xml:space="preserve">, eds., </w:t>
      </w:r>
      <w:r w:rsidRPr="00A96BA9">
        <w:rPr>
          <w:i/>
          <w:iCs/>
          <w:sz w:val="20"/>
          <w:szCs w:val="20"/>
        </w:rPr>
        <w:t>Transforming Organizations</w:t>
      </w:r>
      <w:r w:rsidRPr="00A96BA9">
        <w:rPr>
          <w:sz w:val="20"/>
          <w:szCs w:val="20"/>
        </w:rPr>
        <w:t xml:space="preserve"> (New York: Oxford University Press, 1992): 209-226. </w:t>
      </w:r>
    </w:p>
  </w:endnote>
  <w:endnote w:id="22">
    <w:p w:rsidR="000779F7" w:rsidRPr="00A96BA9" w:rsidRDefault="000779F7" w:rsidP="00A96BA9">
      <w:pPr>
        <w:pStyle w:val="EndnoteText"/>
      </w:pPr>
    </w:p>
    <w:p w:rsidR="000779F7" w:rsidRPr="00A96BA9" w:rsidRDefault="000779F7" w:rsidP="00A96BA9">
      <w:pPr>
        <w:pStyle w:val="EndnoteText"/>
      </w:pPr>
      <w:r w:rsidRPr="00A96BA9">
        <w:rPr>
          <w:rStyle w:val="EndnoteReference"/>
        </w:rPr>
        <w:endnoteRef/>
      </w:r>
      <w:r w:rsidRPr="00A96BA9">
        <w:t xml:space="preserve"> Michael </w:t>
      </w:r>
      <w:proofErr w:type="spellStart"/>
      <w:r w:rsidRPr="00A96BA9">
        <w:t>Cusumano</w:t>
      </w:r>
      <w:proofErr w:type="spellEnd"/>
      <w:r w:rsidRPr="00A96BA9">
        <w:t xml:space="preserve">, </w:t>
      </w:r>
      <w:proofErr w:type="gramStart"/>
      <w:r w:rsidRPr="00A96BA9">
        <w:rPr>
          <w:i/>
        </w:rPr>
        <w:t>The</w:t>
      </w:r>
      <w:proofErr w:type="gramEnd"/>
      <w:r w:rsidRPr="00A96BA9">
        <w:rPr>
          <w:i/>
        </w:rPr>
        <w:t xml:space="preserve"> Japanese Automobile Industry</w:t>
      </w:r>
      <w:r w:rsidRPr="00A96BA9">
        <w:t xml:space="preserve"> (Cambridge:  Harvard University Press, 1985).  John Womack, Daniel Jones, and Daniel </w:t>
      </w:r>
      <w:proofErr w:type="spellStart"/>
      <w:r w:rsidRPr="00A96BA9">
        <w:t>Roos</w:t>
      </w:r>
      <w:proofErr w:type="spellEnd"/>
      <w:r w:rsidRPr="00A96BA9">
        <w:t xml:space="preserve">, </w:t>
      </w:r>
      <w:proofErr w:type="gramStart"/>
      <w:r w:rsidRPr="00A96BA9">
        <w:rPr>
          <w:i/>
        </w:rPr>
        <w:t>The</w:t>
      </w:r>
      <w:proofErr w:type="gramEnd"/>
      <w:r w:rsidRPr="00A96BA9">
        <w:rPr>
          <w:i/>
        </w:rPr>
        <w:t xml:space="preserve"> Machine That Changed the World: The Story of Lean Production</w:t>
      </w:r>
      <w:r w:rsidRPr="00A96BA9">
        <w:t xml:space="preserve"> (New York:  Rawson, 1990). </w:t>
      </w:r>
    </w:p>
  </w:endnote>
  <w:endnote w:id="23">
    <w:p w:rsidR="000779F7" w:rsidRPr="00A96BA9" w:rsidRDefault="000779F7" w:rsidP="00A96BA9">
      <w:pPr>
        <w:rPr>
          <w:sz w:val="20"/>
          <w:szCs w:val="20"/>
        </w:rPr>
      </w:pPr>
      <w:r w:rsidRPr="00A96BA9">
        <w:rPr>
          <w:rStyle w:val="EndnoteReference"/>
          <w:sz w:val="20"/>
          <w:szCs w:val="20"/>
        </w:rPr>
        <w:endnoteRef/>
      </w:r>
      <w:r w:rsidRPr="00A96BA9">
        <w:rPr>
          <w:sz w:val="20"/>
          <w:szCs w:val="20"/>
        </w:rPr>
        <w:t xml:space="preserve"> Kazuhiro </w:t>
      </w:r>
      <w:proofErr w:type="spellStart"/>
      <w:r w:rsidRPr="00A96BA9">
        <w:rPr>
          <w:sz w:val="20"/>
          <w:szCs w:val="20"/>
        </w:rPr>
        <w:t>Mishina</w:t>
      </w:r>
      <w:proofErr w:type="spellEnd"/>
      <w:r w:rsidRPr="00A96BA9">
        <w:rPr>
          <w:sz w:val="20"/>
          <w:szCs w:val="20"/>
        </w:rPr>
        <w:t xml:space="preserve">, “Making Toyota in America: Evidence from the Kentucky Transplant, 1986-1994,” in Robert Boyer, Elsie </w:t>
      </w:r>
      <w:proofErr w:type="spellStart"/>
      <w:r w:rsidRPr="00A96BA9">
        <w:rPr>
          <w:sz w:val="20"/>
          <w:szCs w:val="20"/>
        </w:rPr>
        <w:t>Charron</w:t>
      </w:r>
      <w:proofErr w:type="spellEnd"/>
      <w:r w:rsidRPr="00A96BA9">
        <w:rPr>
          <w:sz w:val="20"/>
          <w:szCs w:val="20"/>
        </w:rPr>
        <w:t xml:space="preserve">, Ulrich </w:t>
      </w:r>
      <w:proofErr w:type="spellStart"/>
      <w:r w:rsidRPr="00A96BA9">
        <w:rPr>
          <w:sz w:val="20"/>
          <w:szCs w:val="20"/>
        </w:rPr>
        <w:t>Jurgens</w:t>
      </w:r>
      <w:proofErr w:type="spellEnd"/>
      <w:r w:rsidRPr="00A96BA9">
        <w:rPr>
          <w:sz w:val="20"/>
          <w:szCs w:val="20"/>
        </w:rPr>
        <w:t xml:space="preserve">, and Steven </w:t>
      </w:r>
      <w:proofErr w:type="spellStart"/>
      <w:r w:rsidRPr="00A96BA9">
        <w:rPr>
          <w:sz w:val="20"/>
          <w:szCs w:val="20"/>
        </w:rPr>
        <w:t>Tolliday</w:t>
      </w:r>
      <w:proofErr w:type="spellEnd"/>
      <w:r w:rsidRPr="00A96BA9">
        <w:rPr>
          <w:sz w:val="20"/>
          <w:szCs w:val="20"/>
        </w:rPr>
        <w:t xml:space="preserve">, eds., </w:t>
      </w:r>
      <w:r w:rsidRPr="00A96BA9">
        <w:rPr>
          <w:i/>
          <w:sz w:val="20"/>
          <w:szCs w:val="20"/>
        </w:rPr>
        <w:t>Between Imitation and Innovation: The Transfer and Hybridization of Productive Models in the International Automobile Industry</w:t>
      </w:r>
      <w:r w:rsidRPr="00A96BA9">
        <w:rPr>
          <w:sz w:val="20"/>
          <w:szCs w:val="20"/>
        </w:rPr>
        <w:t xml:space="preserve"> (Oxford: Oxford University Press, 1998): 99-127. </w:t>
      </w:r>
    </w:p>
  </w:endnote>
  <w:endnote w:id="24">
    <w:p w:rsidR="000779F7" w:rsidRPr="00A96BA9" w:rsidRDefault="000779F7" w:rsidP="00A96BA9">
      <w:pPr>
        <w:pStyle w:val="EndnoteText"/>
      </w:pPr>
      <w:r w:rsidRPr="00A96BA9">
        <w:rPr>
          <w:rStyle w:val="EndnoteReference"/>
        </w:rPr>
        <w:endnoteRef/>
      </w:r>
      <w:r w:rsidRPr="00A96BA9">
        <w:t xml:space="preserve"> </w:t>
      </w:r>
      <w:proofErr w:type="spellStart"/>
      <w:proofErr w:type="gramStart"/>
      <w:r w:rsidRPr="00A96BA9">
        <w:t>Mishina</w:t>
      </w:r>
      <w:proofErr w:type="spellEnd"/>
      <w:r w:rsidRPr="00A96BA9">
        <w:t>, op. cit.</w:t>
      </w:r>
      <w:proofErr w:type="gramEnd"/>
      <w:r w:rsidRPr="00A96BA9">
        <w:t xml:space="preserve">  Paul S. Adler, Barbara </w:t>
      </w:r>
      <w:proofErr w:type="spellStart"/>
      <w:r w:rsidRPr="00A96BA9">
        <w:t>Goldoftas</w:t>
      </w:r>
      <w:proofErr w:type="spellEnd"/>
      <w:r w:rsidRPr="00A96BA9">
        <w:t xml:space="preserve">, and David I. Levine, “Stability and Change at NUMMI,” in Boyer, </w:t>
      </w:r>
      <w:r w:rsidRPr="00A96BA9">
        <w:rPr>
          <w:i/>
        </w:rPr>
        <w:t>Between Imitation and Innovation</w:t>
      </w:r>
      <w:r w:rsidRPr="00A96BA9">
        <w:t xml:space="preserve">:  128-60.  Frits K. </w:t>
      </w:r>
      <w:proofErr w:type="spellStart"/>
      <w:r w:rsidRPr="00A96BA9">
        <w:t>Pil</w:t>
      </w:r>
      <w:proofErr w:type="spellEnd"/>
      <w:r w:rsidRPr="00A96BA9">
        <w:t xml:space="preserve"> and Takahiro Fujimoto, “Lean and Reflective Production: The Dynamic Nature of Production Models”, </w:t>
      </w:r>
      <w:r w:rsidRPr="00A96BA9">
        <w:rPr>
          <w:i/>
        </w:rPr>
        <w:t xml:space="preserve">International Journal of Production Research </w:t>
      </w:r>
      <w:r w:rsidRPr="00A96BA9">
        <w:t xml:space="preserve">45, no. 16 (2007): 3741-3761. </w:t>
      </w:r>
    </w:p>
    <w:p w:rsidR="000779F7" w:rsidRPr="00A96BA9" w:rsidRDefault="000779F7" w:rsidP="00A96BA9">
      <w:pPr>
        <w:pStyle w:val="EndnoteText"/>
        <w:contextualSpacing/>
      </w:pPr>
    </w:p>
    <w:p w:rsidR="000779F7" w:rsidRPr="00A96BA9" w:rsidRDefault="000779F7" w:rsidP="00A96BA9">
      <w:pPr>
        <w:pStyle w:val="EndnoteText"/>
        <w:contextualSpacing/>
      </w:pPr>
    </w:p>
  </w:endnote>
  <w:endnote w:id="25">
    <w:p w:rsidR="000779F7" w:rsidRPr="00A96BA9" w:rsidRDefault="000779F7" w:rsidP="00A96BA9">
      <w:pPr>
        <w:pStyle w:val="EndnoteText"/>
      </w:pPr>
      <w:r w:rsidRPr="00A96BA9">
        <w:rPr>
          <w:rStyle w:val="EndnoteReference"/>
        </w:rPr>
        <w:endnoteRef/>
      </w:r>
      <w:r w:rsidRPr="00A96BA9">
        <w:t xml:space="preserve"> See Christopher Ansell. </w:t>
      </w:r>
      <w:proofErr w:type="gramStart"/>
      <w:r w:rsidRPr="00A96BA9">
        <w:t>Berk and Galvin.</w:t>
      </w:r>
      <w:proofErr w:type="gramEnd"/>
      <w:r w:rsidRPr="00A96BA9">
        <w:t xml:space="preserve"> </w:t>
      </w:r>
    </w:p>
  </w:endnote>
  <w:endnote w:id="26">
    <w:p w:rsidR="000779F7" w:rsidRPr="00A96BA9" w:rsidRDefault="000779F7" w:rsidP="00A96BA9">
      <w:pPr>
        <w:pStyle w:val="EndnoteText"/>
      </w:pPr>
      <w:r w:rsidRPr="00A96BA9">
        <w:rPr>
          <w:rStyle w:val="EndnoteReference"/>
        </w:rPr>
        <w:endnoteRef/>
      </w:r>
      <w:r w:rsidRPr="00A96BA9">
        <w:t xml:space="preserve"> </w:t>
      </w:r>
      <w:proofErr w:type="gramStart"/>
      <w:r w:rsidRPr="00A96BA9">
        <w:rPr>
          <w:color w:val="000000"/>
        </w:rPr>
        <w:t xml:space="preserve">Cooney and </w:t>
      </w:r>
      <w:proofErr w:type="spellStart"/>
      <w:r w:rsidRPr="00A96BA9">
        <w:rPr>
          <w:color w:val="000000"/>
        </w:rPr>
        <w:t>Yarbocucci</w:t>
      </w:r>
      <w:proofErr w:type="spellEnd"/>
      <w:r w:rsidRPr="00A96BA9">
        <w:rPr>
          <w:color w:val="000000"/>
        </w:rPr>
        <w:t xml:space="preserve">, </w:t>
      </w:r>
      <w:r w:rsidRPr="00A96BA9">
        <w:t>“U.S. Automotive Industry,”</w:t>
      </w:r>
      <w:r w:rsidRPr="00A96BA9">
        <w:rPr>
          <w:color w:val="000000"/>
        </w:rPr>
        <w:t xml:space="preserve"> op cit.</w:t>
      </w:r>
      <w:proofErr w:type="gramEnd"/>
      <w:r w:rsidRPr="00A96BA9">
        <w:t xml:space="preserve">   Cooney, “Motor Vehicle Manufacturing Employment: National and State Trends and Issues,” op. cit.: 12.</w:t>
      </w:r>
    </w:p>
  </w:endnote>
  <w:endnote w:id="27">
    <w:p w:rsidR="000779F7" w:rsidRPr="00A96BA9" w:rsidRDefault="000779F7" w:rsidP="00A96BA9">
      <w:pPr>
        <w:pStyle w:val="EndnoteText"/>
      </w:pPr>
      <w:r w:rsidRPr="00A96BA9">
        <w:rPr>
          <w:rStyle w:val="EndnoteReference"/>
        </w:rPr>
        <w:endnoteRef/>
      </w:r>
      <w:r w:rsidRPr="00A96BA9">
        <w:t xml:space="preserve"> </w:t>
      </w:r>
      <w:proofErr w:type="spellStart"/>
      <w:r w:rsidRPr="00A96BA9">
        <w:t>Rattner</w:t>
      </w:r>
      <w:proofErr w:type="spellEnd"/>
      <w:r w:rsidRPr="00A96BA9">
        <w:t>, Overhaul: 69-79, 127.</w:t>
      </w:r>
    </w:p>
  </w:endnote>
  <w:endnote w:id="28">
    <w:p w:rsidR="000779F7" w:rsidRPr="00A96BA9" w:rsidRDefault="000779F7" w:rsidP="00A96BA9">
      <w:pPr>
        <w:pStyle w:val="BodyText"/>
        <w:rPr>
          <w:rFonts w:asciiTheme="minorHAnsi" w:hAnsiTheme="minorHAnsi"/>
          <w:sz w:val="20"/>
        </w:rPr>
      </w:pPr>
      <w:r w:rsidRPr="00A96BA9">
        <w:rPr>
          <w:rStyle w:val="EndnoteReference"/>
          <w:rFonts w:asciiTheme="minorHAnsi" w:eastAsia="Calibri" w:hAnsiTheme="minorHAnsi"/>
          <w:sz w:val="20"/>
        </w:rPr>
        <w:endnoteRef/>
      </w:r>
      <w:r w:rsidRPr="00A96BA9">
        <w:rPr>
          <w:rFonts w:asciiTheme="minorHAnsi" w:hAnsiTheme="minorHAnsi"/>
          <w:sz w:val="20"/>
        </w:rPr>
        <w:t xml:space="preserve"> </w:t>
      </w:r>
      <w:proofErr w:type="gramStart"/>
      <w:r w:rsidRPr="00A96BA9">
        <w:rPr>
          <w:rFonts w:asciiTheme="minorHAnsi" w:hAnsiTheme="minorHAnsi"/>
          <w:sz w:val="20"/>
        </w:rPr>
        <w:t>Amberg, “Liberal Market Economy or Composite Regime”, op. cit.</w:t>
      </w:r>
      <w:proofErr w:type="gramEnd"/>
      <w:r w:rsidRPr="00A96BA9">
        <w:rPr>
          <w:rFonts w:asciiTheme="minorHAnsi" w:hAnsiTheme="minorHAnsi"/>
          <w:sz w:val="20"/>
        </w:rPr>
        <w:t xml:space="preserve"> </w:t>
      </w:r>
    </w:p>
    <w:p w:rsidR="000779F7" w:rsidRPr="00A96BA9" w:rsidRDefault="000779F7" w:rsidP="00A96BA9">
      <w:pPr>
        <w:pStyle w:val="BodyText"/>
        <w:rPr>
          <w:rFonts w:asciiTheme="minorHAnsi" w:hAnsiTheme="minorHAnsi"/>
          <w:sz w:val="20"/>
        </w:rPr>
      </w:pPr>
    </w:p>
  </w:endnote>
  <w:endnote w:id="29">
    <w:p w:rsidR="000779F7" w:rsidRPr="00A96BA9" w:rsidRDefault="000779F7" w:rsidP="00A96BA9">
      <w:pPr>
        <w:pStyle w:val="EndnoteText"/>
      </w:pPr>
      <w:r w:rsidRPr="00A96BA9">
        <w:rPr>
          <w:rStyle w:val="EndnoteReference"/>
        </w:rPr>
        <w:endnoteRef/>
      </w:r>
      <w:r w:rsidRPr="00A96BA9">
        <w:t xml:space="preserve"> Jonathan Alter, </w:t>
      </w:r>
      <w:proofErr w:type="gramStart"/>
      <w:r w:rsidRPr="00A96BA9">
        <w:t>The</w:t>
      </w:r>
      <w:proofErr w:type="gramEnd"/>
      <w:r w:rsidRPr="00A96BA9">
        <w:t xml:space="preserve"> Promise: President Obama (New York: Simon &amp; Schuster, 2010): 184. </w:t>
      </w:r>
    </w:p>
  </w:endnote>
  <w:endnote w:id="30">
    <w:p w:rsidR="000779F7" w:rsidRPr="00A96BA9" w:rsidRDefault="000779F7" w:rsidP="00A96BA9">
      <w:pPr>
        <w:pStyle w:val="EndnoteText"/>
      </w:pPr>
      <w:r w:rsidRPr="00A96BA9">
        <w:rPr>
          <w:rStyle w:val="EndnoteReference"/>
        </w:rPr>
        <w:endnoteRef/>
      </w:r>
      <w:r w:rsidRPr="00A96BA9">
        <w:t xml:space="preserve"> U.S. Government Accountability Office, “Troubled Asset Relief Program: Continued Stewardship Needed as Treasury Develops Strategies for Monitoring and Divesting Financial Interests in Chrysler and GM” (Washington, D.C.: GAO Report to Congressional Committees, November 2009).</w:t>
      </w:r>
    </w:p>
  </w:endnote>
  <w:endnote w:id="31">
    <w:p w:rsidR="000779F7" w:rsidRPr="00A96BA9" w:rsidRDefault="000779F7" w:rsidP="00A96BA9">
      <w:pPr>
        <w:pStyle w:val="EndnoteText"/>
      </w:pPr>
      <w:r w:rsidRPr="00A96BA9">
        <w:rPr>
          <w:rStyle w:val="EndnoteReference"/>
        </w:rPr>
        <w:endnoteRef/>
      </w:r>
      <w:r w:rsidRPr="00A96BA9">
        <w:t xml:space="preserve"> </w:t>
      </w:r>
      <w:proofErr w:type="gramStart"/>
      <w:r w:rsidRPr="00A96BA9">
        <w:t>“Determination of Viability Summary” for General Motors and for Chrysler, March 30, 2009 (www.whitehouse.gov/the_press_office/).</w:t>
      </w:r>
      <w:proofErr w:type="gramEnd"/>
      <w:r w:rsidRPr="00A96BA9">
        <w:t xml:space="preserve">  </w:t>
      </w:r>
    </w:p>
  </w:endnote>
  <w:endnote w:id="32">
    <w:p w:rsidR="000779F7" w:rsidRPr="00A96BA9" w:rsidRDefault="000779F7" w:rsidP="00A96BA9">
      <w:pPr>
        <w:pStyle w:val="EndnoteText"/>
      </w:pPr>
      <w:r w:rsidRPr="00A96BA9">
        <w:rPr>
          <w:rStyle w:val="EndnoteReference"/>
        </w:rPr>
        <w:endnoteRef/>
      </w:r>
      <w:r w:rsidRPr="00A96BA9">
        <w:t xml:space="preserve">  Nick </w:t>
      </w:r>
      <w:proofErr w:type="spellStart"/>
      <w:r w:rsidRPr="00A96BA9">
        <w:t>Bunkley</w:t>
      </w:r>
      <w:proofErr w:type="spellEnd"/>
      <w:r w:rsidRPr="00A96BA9">
        <w:t xml:space="preserve">, “Aid Program for Suppliers Starts With $3.5 Billion in Loans to G.M. and Chrysler,” The New York Times (April 9, 2009). </w:t>
      </w:r>
      <w:proofErr w:type="gramStart"/>
      <w:r w:rsidRPr="00A96BA9">
        <w:t>Susan Helper, “Best Options for the Auto Industry Crisis” (M.I.T. International Motor Vehicle Program, November 20, 2008), accessed at lerablog.org.</w:t>
      </w:r>
      <w:proofErr w:type="gramEnd"/>
      <w:r w:rsidRPr="00A96BA9">
        <w:t xml:space="preserve">  </w:t>
      </w:r>
      <w:r w:rsidRPr="00A96BA9">
        <w:rPr>
          <w:color w:val="000000"/>
          <w:kern w:val="36"/>
        </w:rPr>
        <w:t xml:space="preserve">Bill Vlasic, “A Flush G.M. to Lavish Cash on New Vehicles,” The New York Times (December 7, 2009). </w:t>
      </w:r>
    </w:p>
  </w:endnote>
  <w:endnote w:id="33">
    <w:p w:rsidR="000779F7" w:rsidRPr="00A96BA9" w:rsidRDefault="000779F7" w:rsidP="00A96BA9">
      <w:pPr>
        <w:autoSpaceDE w:val="0"/>
        <w:autoSpaceDN w:val="0"/>
        <w:adjustRightInd w:val="0"/>
        <w:rPr>
          <w:sz w:val="20"/>
          <w:szCs w:val="20"/>
          <w:lang w:eastAsia="da-DK"/>
        </w:rPr>
      </w:pPr>
      <w:r w:rsidRPr="00A96BA9">
        <w:rPr>
          <w:rStyle w:val="EndnoteReference"/>
          <w:sz w:val="20"/>
          <w:szCs w:val="20"/>
        </w:rPr>
        <w:endnoteRef/>
      </w:r>
      <w:r w:rsidRPr="00A96BA9">
        <w:rPr>
          <w:sz w:val="20"/>
          <w:szCs w:val="20"/>
        </w:rPr>
        <w:t xml:space="preserve"> </w:t>
      </w:r>
      <w:r w:rsidRPr="00A96BA9">
        <w:rPr>
          <w:sz w:val="20"/>
          <w:szCs w:val="20"/>
          <w:lang w:eastAsia="da-DK"/>
        </w:rPr>
        <w:t xml:space="preserve">Steven </w:t>
      </w:r>
      <w:proofErr w:type="spellStart"/>
      <w:r w:rsidRPr="00A96BA9">
        <w:rPr>
          <w:sz w:val="20"/>
          <w:szCs w:val="20"/>
          <w:lang w:eastAsia="da-DK"/>
        </w:rPr>
        <w:t>Rattner</w:t>
      </w:r>
      <w:proofErr w:type="spellEnd"/>
      <w:r w:rsidRPr="00A96BA9">
        <w:rPr>
          <w:sz w:val="20"/>
          <w:szCs w:val="20"/>
          <w:lang w:eastAsia="da-DK"/>
        </w:rPr>
        <w:t xml:space="preserve">, “The Auto Bailout: How We Did It,” Fortune Magazine (October 21, 2009). </w:t>
      </w:r>
    </w:p>
  </w:endnote>
  <w:endnote w:id="34">
    <w:p w:rsidR="000779F7" w:rsidRPr="00A96BA9" w:rsidRDefault="000779F7" w:rsidP="00A96BA9">
      <w:pPr>
        <w:pStyle w:val="EndnoteText"/>
      </w:pPr>
      <w:r w:rsidRPr="00A96BA9">
        <w:rPr>
          <w:rStyle w:val="EndnoteReference"/>
        </w:rPr>
        <w:endnoteRef/>
      </w:r>
      <w:r w:rsidRPr="00A96BA9">
        <w:t xml:space="preserve"> </w:t>
      </w:r>
      <w:proofErr w:type="gramStart"/>
      <w:r w:rsidRPr="00A96BA9">
        <w:t>ibid.,</w:t>
      </w:r>
      <w:proofErr w:type="gramEnd"/>
      <w:r w:rsidRPr="00A96BA9">
        <w:t xml:space="preserve"> 12, 24.  </w:t>
      </w:r>
    </w:p>
  </w:endnote>
  <w:endnote w:id="35">
    <w:p w:rsidR="000779F7" w:rsidRPr="00A96BA9" w:rsidRDefault="000779F7" w:rsidP="00A96BA9">
      <w:pPr>
        <w:pStyle w:val="EndnoteText"/>
      </w:pPr>
      <w:r w:rsidRPr="00A96BA9">
        <w:rPr>
          <w:rStyle w:val="EndnoteReference"/>
        </w:rPr>
        <w:endnoteRef/>
      </w:r>
      <w:r w:rsidRPr="00A96BA9">
        <w:t xml:space="preserve"> </w:t>
      </w:r>
      <w:proofErr w:type="spellStart"/>
      <w:r w:rsidRPr="00A96BA9">
        <w:t>Rattner</w:t>
      </w:r>
      <w:proofErr w:type="spellEnd"/>
      <w:r w:rsidRPr="00A96BA9">
        <w:t>, Overhaul:  280-81.</w:t>
      </w:r>
    </w:p>
  </w:endnote>
  <w:endnote w:id="36">
    <w:p w:rsidR="000779F7" w:rsidRPr="00A96BA9" w:rsidRDefault="000779F7" w:rsidP="00A96BA9">
      <w:pPr>
        <w:pStyle w:val="EndnoteText"/>
      </w:pPr>
      <w:r w:rsidRPr="00A96BA9">
        <w:rPr>
          <w:rStyle w:val="EndnoteReference"/>
        </w:rPr>
        <w:endnoteRef/>
      </w:r>
      <w:r w:rsidRPr="00A96BA9">
        <w:t xml:space="preserve"> </w:t>
      </w:r>
      <w:proofErr w:type="gramStart"/>
      <w:r w:rsidRPr="00A96BA9">
        <w:t>“U.S. Likely to Sell G.M. Stake Before Chrysler,” The New York Times (August 6, 2009).</w:t>
      </w:r>
      <w:proofErr w:type="gramEnd"/>
      <w:r w:rsidRPr="00A96BA9">
        <w:t xml:space="preserve">  U.S. Government Accountability Office, “Troubled Asset Relief Program”, op. cit.: 15. </w:t>
      </w:r>
    </w:p>
  </w:endnote>
  <w:endnote w:id="37">
    <w:p w:rsidR="000779F7" w:rsidRPr="00A96BA9" w:rsidRDefault="000779F7" w:rsidP="00A96BA9">
      <w:pPr>
        <w:contextualSpacing/>
        <w:rPr>
          <w:sz w:val="20"/>
          <w:szCs w:val="20"/>
        </w:rPr>
      </w:pPr>
      <w:r w:rsidRPr="00A96BA9">
        <w:rPr>
          <w:rStyle w:val="EndnoteReference"/>
          <w:sz w:val="20"/>
          <w:szCs w:val="20"/>
        </w:rPr>
        <w:endnoteRef/>
      </w:r>
      <w:r w:rsidRPr="00A96BA9">
        <w:rPr>
          <w:sz w:val="20"/>
          <w:szCs w:val="20"/>
        </w:rPr>
        <w:t xml:space="preserve"> Carol Loomis, “The Tragedy of General Motors,” Fortune Magazine (February 6, 2006).  </w:t>
      </w:r>
      <w:proofErr w:type="gramStart"/>
      <w:r w:rsidRPr="00A96BA9">
        <w:rPr>
          <w:sz w:val="20"/>
          <w:szCs w:val="20"/>
        </w:rPr>
        <w:t xml:space="preserve">Nick </w:t>
      </w:r>
      <w:proofErr w:type="spellStart"/>
      <w:r w:rsidRPr="00A96BA9">
        <w:rPr>
          <w:sz w:val="20"/>
          <w:szCs w:val="20"/>
        </w:rPr>
        <w:t>Bunkley</w:t>
      </w:r>
      <w:proofErr w:type="spellEnd"/>
      <w:r w:rsidRPr="00A96BA9">
        <w:rPr>
          <w:sz w:val="20"/>
          <w:szCs w:val="20"/>
        </w:rPr>
        <w:t>, “U.S. to Allow G.M. to Use Federal Loans to Invest in Delphi,” The New York Times (November 3, 2009).</w:t>
      </w:r>
      <w:proofErr w:type="gramEnd"/>
    </w:p>
    <w:p w:rsidR="000779F7" w:rsidRPr="00A96BA9" w:rsidRDefault="000779F7" w:rsidP="00A96BA9">
      <w:pPr>
        <w:contextualSpacing/>
        <w:rPr>
          <w:sz w:val="20"/>
          <w:szCs w:val="20"/>
        </w:rPr>
      </w:pPr>
    </w:p>
  </w:endnote>
  <w:endnote w:id="38">
    <w:p w:rsidR="000779F7" w:rsidRPr="00A96BA9" w:rsidRDefault="000779F7" w:rsidP="00A96BA9">
      <w:pPr>
        <w:pStyle w:val="EndnoteText"/>
      </w:pPr>
      <w:r w:rsidRPr="00A96BA9">
        <w:rPr>
          <w:rStyle w:val="EndnoteReference"/>
        </w:rPr>
        <w:endnoteRef/>
      </w:r>
      <w:r w:rsidRPr="00A96BA9">
        <w:t xml:space="preserve"> Nick </w:t>
      </w:r>
      <w:proofErr w:type="spellStart"/>
      <w:r w:rsidRPr="00A96BA9">
        <w:t>Bunkley</w:t>
      </w:r>
      <w:proofErr w:type="spellEnd"/>
      <w:r w:rsidRPr="00A96BA9">
        <w:t xml:space="preserve">, “$4,000 Bonus Checks for GM Workers,” The New York Times (February 15, 2011). </w:t>
      </w:r>
    </w:p>
  </w:endnote>
  <w:endnote w:id="39">
    <w:p w:rsidR="000779F7" w:rsidRPr="00A96BA9" w:rsidRDefault="000779F7" w:rsidP="00A96BA9">
      <w:pPr>
        <w:pStyle w:val="EndnoteText"/>
      </w:pPr>
      <w:r w:rsidRPr="00A96BA9">
        <w:rPr>
          <w:rStyle w:val="EndnoteReference"/>
        </w:rPr>
        <w:endnoteRef/>
      </w:r>
      <w:r w:rsidRPr="00A96BA9">
        <w:t xml:space="preserve"> “April 2009 UAW-Chrysler Settlement Agreement” and “2009 UAW-GM Modification Agreement”, initialed drafts accessed at www.soldiersofsolidarity.com.  Cf. www.solidarityeducationcenter.org/.  Nick </w:t>
      </w:r>
      <w:proofErr w:type="spellStart"/>
      <w:r w:rsidRPr="00A96BA9">
        <w:t>Bunkley</w:t>
      </w:r>
      <w:proofErr w:type="spellEnd"/>
      <w:r w:rsidRPr="00A96BA9">
        <w:t xml:space="preserve">, “Union Votes Go Against Cuts at Ford,” The New York Times (October 28, 2009). </w:t>
      </w:r>
    </w:p>
  </w:endnote>
  <w:endnote w:id="40">
    <w:p w:rsidR="000779F7" w:rsidRPr="00A96BA9" w:rsidRDefault="000779F7" w:rsidP="00A96BA9">
      <w:pPr>
        <w:pStyle w:val="EndnoteText"/>
      </w:pPr>
      <w:r w:rsidRPr="00A96BA9">
        <w:rPr>
          <w:rStyle w:val="EndnoteReference"/>
        </w:rPr>
        <w:endnoteRef/>
      </w:r>
      <w:r w:rsidRPr="00A96BA9">
        <w:t xml:space="preserve"> </w:t>
      </w:r>
      <w:proofErr w:type="spellStart"/>
      <w:r w:rsidRPr="00A96BA9">
        <w:t>Latour</w:t>
      </w:r>
      <w:proofErr w:type="spellEnd"/>
      <w:r w:rsidRPr="00A96BA9">
        <w:t xml:space="preserve"> 46, addressing the controversies about agency:  not to privilege individual calculation, cognition as such, local, place-based, nor ignore forces outside individual control.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Bold">
    <w:altName w:val="Arial Narrow"/>
    <w:panose1 w:val="00000000000000000000"/>
    <w:charset w:val="00"/>
    <w:family w:val="swiss"/>
    <w:notTrueType/>
    <w:pitch w:val="default"/>
    <w:sig w:usb0="00000003" w:usb1="00000000" w:usb2="00000000" w:usb3="00000000" w:csb0="00000001"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F7" w:rsidRDefault="0030283B" w:rsidP="00285A8A">
    <w:pPr>
      <w:pStyle w:val="Footer"/>
      <w:framePr w:wrap="around" w:vAnchor="text" w:hAnchor="margin" w:xAlign="right" w:y="1"/>
      <w:rPr>
        <w:rStyle w:val="PageNumber"/>
      </w:rPr>
    </w:pPr>
    <w:r>
      <w:rPr>
        <w:rStyle w:val="PageNumber"/>
      </w:rPr>
      <w:fldChar w:fldCharType="begin"/>
    </w:r>
    <w:r w:rsidR="000779F7">
      <w:rPr>
        <w:rStyle w:val="PageNumber"/>
      </w:rPr>
      <w:instrText xml:space="preserve">PAGE  </w:instrText>
    </w:r>
    <w:r>
      <w:rPr>
        <w:rStyle w:val="PageNumber"/>
      </w:rPr>
      <w:fldChar w:fldCharType="end"/>
    </w:r>
  </w:p>
  <w:p w:rsidR="000779F7" w:rsidRDefault="000779F7" w:rsidP="007455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F7" w:rsidRDefault="0030283B" w:rsidP="00285A8A">
    <w:pPr>
      <w:pStyle w:val="Footer"/>
      <w:framePr w:wrap="around" w:vAnchor="text" w:hAnchor="margin" w:xAlign="right" w:y="1"/>
      <w:rPr>
        <w:rStyle w:val="PageNumber"/>
      </w:rPr>
    </w:pPr>
    <w:r>
      <w:rPr>
        <w:rStyle w:val="PageNumber"/>
      </w:rPr>
      <w:fldChar w:fldCharType="begin"/>
    </w:r>
    <w:r w:rsidR="000779F7">
      <w:rPr>
        <w:rStyle w:val="PageNumber"/>
      </w:rPr>
      <w:instrText xml:space="preserve">PAGE  </w:instrText>
    </w:r>
    <w:r>
      <w:rPr>
        <w:rStyle w:val="PageNumber"/>
      </w:rPr>
      <w:fldChar w:fldCharType="separate"/>
    </w:r>
    <w:r w:rsidR="00A96BA9">
      <w:rPr>
        <w:rStyle w:val="PageNumber"/>
        <w:noProof/>
      </w:rPr>
      <w:t>25</w:t>
    </w:r>
    <w:r>
      <w:rPr>
        <w:rStyle w:val="PageNumber"/>
      </w:rPr>
      <w:fldChar w:fldCharType="end"/>
    </w:r>
  </w:p>
  <w:p w:rsidR="000779F7" w:rsidRDefault="000779F7" w:rsidP="007455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F7" w:rsidRDefault="000779F7" w:rsidP="00B10EB7">
      <w:r>
        <w:separator/>
      </w:r>
    </w:p>
  </w:footnote>
  <w:footnote w:type="continuationSeparator" w:id="0">
    <w:p w:rsidR="000779F7" w:rsidRDefault="000779F7" w:rsidP="00B10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07F05"/>
    <w:multiLevelType w:val="hybridMultilevel"/>
    <w:tmpl w:val="1A1E6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
  <w:rsids>
    <w:rsidRoot w:val="00513CA7"/>
    <w:rsid w:val="00012E25"/>
    <w:rsid w:val="00015C4F"/>
    <w:rsid w:val="00021276"/>
    <w:rsid w:val="00041EE8"/>
    <w:rsid w:val="00053BA2"/>
    <w:rsid w:val="00054654"/>
    <w:rsid w:val="00060867"/>
    <w:rsid w:val="00062CCA"/>
    <w:rsid w:val="0006328E"/>
    <w:rsid w:val="000656BA"/>
    <w:rsid w:val="000761F3"/>
    <w:rsid w:val="000779F7"/>
    <w:rsid w:val="0008784B"/>
    <w:rsid w:val="00090DDB"/>
    <w:rsid w:val="0009496C"/>
    <w:rsid w:val="000B67E5"/>
    <w:rsid w:val="000B76DC"/>
    <w:rsid w:val="000C2320"/>
    <w:rsid w:val="000C2DCC"/>
    <w:rsid w:val="000D0035"/>
    <w:rsid w:val="000D0BD4"/>
    <w:rsid w:val="000E6FD9"/>
    <w:rsid w:val="000F450E"/>
    <w:rsid w:val="000F4EA5"/>
    <w:rsid w:val="000F7845"/>
    <w:rsid w:val="00101CFE"/>
    <w:rsid w:val="0011353A"/>
    <w:rsid w:val="00131650"/>
    <w:rsid w:val="00165E5F"/>
    <w:rsid w:val="00167421"/>
    <w:rsid w:val="00176562"/>
    <w:rsid w:val="00192DBD"/>
    <w:rsid w:val="001B2674"/>
    <w:rsid w:val="001B2724"/>
    <w:rsid w:val="001B3587"/>
    <w:rsid w:val="0020014D"/>
    <w:rsid w:val="00203E58"/>
    <w:rsid w:val="00205DF6"/>
    <w:rsid w:val="00222950"/>
    <w:rsid w:val="00243AD9"/>
    <w:rsid w:val="00252797"/>
    <w:rsid w:val="00252919"/>
    <w:rsid w:val="00256BB2"/>
    <w:rsid w:val="00264811"/>
    <w:rsid w:val="00285A8A"/>
    <w:rsid w:val="00287B35"/>
    <w:rsid w:val="002902A0"/>
    <w:rsid w:val="0029371F"/>
    <w:rsid w:val="002A6724"/>
    <w:rsid w:val="002C4DE3"/>
    <w:rsid w:val="002C662C"/>
    <w:rsid w:val="002D2A5D"/>
    <w:rsid w:val="002D32AD"/>
    <w:rsid w:val="002D5682"/>
    <w:rsid w:val="002E08FF"/>
    <w:rsid w:val="002E1AEE"/>
    <w:rsid w:val="002E204C"/>
    <w:rsid w:val="0030283B"/>
    <w:rsid w:val="00304C25"/>
    <w:rsid w:val="003111AE"/>
    <w:rsid w:val="003164B9"/>
    <w:rsid w:val="00327F28"/>
    <w:rsid w:val="00330399"/>
    <w:rsid w:val="00333CCD"/>
    <w:rsid w:val="0033654E"/>
    <w:rsid w:val="003560B4"/>
    <w:rsid w:val="00371651"/>
    <w:rsid w:val="00373434"/>
    <w:rsid w:val="00376AE5"/>
    <w:rsid w:val="00377A0F"/>
    <w:rsid w:val="003A21CA"/>
    <w:rsid w:val="003A68C7"/>
    <w:rsid w:val="003B2A5C"/>
    <w:rsid w:val="003B6D9E"/>
    <w:rsid w:val="003B7AAD"/>
    <w:rsid w:val="003D6C05"/>
    <w:rsid w:val="0040124D"/>
    <w:rsid w:val="004221F8"/>
    <w:rsid w:val="00440593"/>
    <w:rsid w:val="004508ED"/>
    <w:rsid w:val="00457B9E"/>
    <w:rsid w:val="00462536"/>
    <w:rsid w:val="00470914"/>
    <w:rsid w:val="00471098"/>
    <w:rsid w:val="004C1559"/>
    <w:rsid w:val="004D7FF2"/>
    <w:rsid w:val="004F07C5"/>
    <w:rsid w:val="004F27AA"/>
    <w:rsid w:val="00505810"/>
    <w:rsid w:val="00513CA7"/>
    <w:rsid w:val="00522679"/>
    <w:rsid w:val="00532984"/>
    <w:rsid w:val="00552D2E"/>
    <w:rsid w:val="005550C3"/>
    <w:rsid w:val="0056282F"/>
    <w:rsid w:val="005C6327"/>
    <w:rsid w:val="005E32BA"/>
    <w:rsid w:val="00606B33"/>
    <w:rsid w:val="00621FAA"/>
    <w:rsid w:val="006221AF"/>
    <w:rsid w:val="0063261E"/>
    <w:rsid w:val="006423A5"/>
    <w:rsid w:val="00646F98"/>
    <w:rsid w:val="00651770"/>
    <w:rsid w:val="0065186C"/>
    <w:rsid w:val="00654C3C"/>
    <w:rsid w:val="0066583A"/>
    <w:rsid w:val="00665954"/>
    <w:rsid w:val="006661BD"/>
    <w:rsid w:val="00670EFB"/>
    <w:rsid w:val="00672208"/>
    <w:rsid w:val="006744F7"/>
    <w:rsid w:val="006A6A70"/>
    <w:rsid w:val="006B3D8E"/>
    <w:rsid w:val="006B3E14"/>
    <w:rsid w:val="006B632A"/>
    <w:rsid w:val="006C1296"/>
    <w:rsid w:val="006D2266"/>
    <w:rsid w:val="006D3B66"/>
    <w:rsid w:val="006D419D"/>
    <w:rsid w:val="006D4785"/>
    <w:rsid w:val="006D4BBD"/>
    <w:rsid w:val="006E307E"/>
    <w:rsid w:val="00715734"/>
    <w:rsid w:val="00717B82"/>
    <w:rsid w:val="0074551B"/>
    <w:rsid w:val="00790BF8"/>
    <w:rsid w:val="007A14E8"/>
    <w:rsid w:val="007A4441"/>
    <w:rsid w:val="007B3B88"/>
    <w:rsid w:val="007B636E"/>
    <w:rsid w:val="007C2575"/>
    <w:rsid w:val="007C6C0B"/>
    <w:rsid w:val="007E586B"/>
    <w:rsid w:val="00806F52"/>
    <w:rsid w:val="008116EC"/>
    <w:rsid w:val="00837774"/>
    <w:rsid w:val="00852C72"/>
    <w:rsid w:val="00862316"/>
    <w:rsid w:val="00897C7B"/>
    <w:rsid w:val="008B225C"/>
    <w:rsid w:val="008C08CB"/>
    <w:rsid w:val="008C14F6"/>
    <w:rsid w:val="008D5F1A"/>
    <w:rsid w:val="008E3147"/>
    <w:rsid w:val="008F05CD"/>
    <w:rsid w:val="008F4C45"/>
    <w:rsid w:val="009117C8"/>
    <w:rsid w:val="009229ED"/>
    <w:rsid w:val="00924142"/>
    <w:rsid w:val="009312E7"/>
    <w:rsid w:val="00933679"/>
    <w:rsid w:val="00937BB0"/>
    <w:rsid w:val="009558C5"/>
    <w:rsid w:val="009573FD"/>
    <w:rsid w:val="00964967"/>
    <w:rsid w:val="009815C9"/>
    <w:rsid w:val="009819D9"/>
    <w:rsid w:val="00986277"/>
    <w:rsid w:val="00990B0D"/>
    <w:rsid w:val="00991E0D"/>
    <w:rsid w:val="009938A8"/>
    <w:rsid w:val="00994BDB"/>
    <w:rsid w:val="009A4EFE"/>
    <w:rsid w:val="009B0EBE"/>
    <w:rsid w:val="009B4F66"/>
    <w:rsid w:val="009B5CE6"/>
    <w:rsid w:val="009B7484"/>
    <w:rsid w:val="009C0E86"/>
    <w:rsid w:val="009C7379"/>
    <w:rsid w:val="009D02D0"/>
    <w:rsid w:val="009D5690"/>
    <w:rsid w:val="009D630B"/>
    <w:rsid w:val="009E0717"/>
    <w:rsid w:val="009E51D6"/>
    <w:rsid w:val="009F2B3B"/>
    <w:rsid w:val="00A07379"/>
    <w:rsid w:val="00A21116"/>
    <w:rsid w:val="00A214CC"/>
    <w:rsid w:val="00A313ED"/>
    <w:rsid w:val="00A330CA"/>
    <w:rsid w:val="00A406B8"/>
    <w:rsid w:val="00A42137"/>
    <w:rsid w:val="00A44690"/>
    <w:rsid w:val="00A509D1"/>
    <w:rsid w:val="00A703A2"/>
    <w:rsid w:val="00A76907"/>
    <w:rsid w:val="00A96BA9"/>
    <w:rsid w:val="00AA0472"/>
    <w:rsid w:val="00AB7A86"/>
    <w:rsid w:val="00AD70F8"/>
    <w:rsid w:val="00AE662C"/>
    <w:rsid w:val="00AE709C"/>
    <w:rsid w:val="00AF727F"/>
    <w:rsid w:val="00B10EB7"/>
    <w:rsid w:val="00B37BD0"/>
    <w:rsid w:val="00B47EA0"/>
    <w:rsid w:val="00B63A22"/>
    <w:rsid w:val="00B72425"/>
    <w:rsid w:val="00B915AB"/>
    <w:rsid w:val="00B953D5"/>
    <w:rsid w:val="00BB658D"/>
    <w:rsid w:val="00BB6CA8"/>
    <w:rsid w:val="00BC7523"/>
    <w:rsid w:val="00BF70DE"/>
    <w:rsid w:val="00C126D0"/>
    <w:rsid w:val="00C1571B"/>
    <w:rsid w:val="00C25EB5"/>
    <w:rsid w:val="00C321F1"/>
    <w:rsid w:val="00C36B43"/>
    <w:rsid w:val="00C7087D"/>
    <w:rsid w:val="00C828B4"/>
    <w:rsid w:val="00C84130"/>
    <w:rsid w:val="00C8680E"/>
    <w:rsid w:val="00C93059"/>
    <w:rsid w:val="00CA0A4D"/>
    <w:rsid w:val="00CA3FE9"/>
    <w:rsid w:val="00CA4831"/>
    <w:rsid w:val="00CA5BBA"/>
    <w:rsid w:val="00CB1F6F"/>
    <w:rsid w:val="00CD2A06"/>
    <w:rsid w:val="00CD45FA"/>
    <w:rsid w:val="00CF5D12"/>
    <w:rsid w:val="00CF6EC6"/>
    <w:rsid w:val="00CF7870"/>
    <w:rsid w:val="00D0191D"/>
    <w:rsid w:val="00D03689"/>
    <w:rsid w:val="00D07E2C"/>
    <w:rsid w:val="00D1497F"/>
    <w:rsid w:val="00D1584E"/>
    <w:rsid w:val="00D24375"/>
    <w:rsid w:val="00D35A30"/>
    <w:rsid w:val="00D40BDF"/>
    <w:rsid w:val="00D56647"/>
    <w:rsid w:val="00D60858"/>
    <w:rsid w:val="00D672B9"/>
    <w:rsid w:val="00D6776A"/>
    <w:rsid w:val="00D86E16"/>
    <w:rsid w:val="00D91C54"/>
    <w:rsid w:val="00D92306"/>
    <w:rsid w:val="00DA0306"/>
    <w:rsid w:val="00DA5244"/>
    <w:rsid w:val="00DB1D4C"/>
    <w:rsid w:val="00DB26C1"/>
    <w:rsid w:val="00DB3029"/>
    <w:rsid w:val="00DB47A4"/>
    <w:rsid w:val="00DB4EF0"/>
    <w:rsid w:val="00DC3809"/>
    <w:rsid w:val="00DC7D2E"/>
    <w:rsid w:val="00DD104C"/>
    <w:rsid w:val="00DD4858"/>
    <w:rsid w:val="00DD5D2E"/>
    <w:rsid w:val="00DF2B34"/>
    <w:rsid w:val="00DF6B29"/>
    <w:rsid w:val="00E144CA"/>
    <w:rsid w:val="00E3387F"/>
    <w:rsid w:val="00E4571C"/>
    <w:rsid w:val="00E45CCB"/>
    <w:rsid w:val="00E560FC"/>
    <w:rsid w:val="00E70D07"/>
    <w:rsid w:val="00EB1FD1"/>
    <w:rsid w:val="00EC408B"/>
    <w:rsid w:val="00ED4ECE"/>
    <w:rsid w:val="00F07057"/>
    <w:rsid w:val="00F20DE7"/>
    <w:rsid w:val="00F45E8C"/>
    <w:rsid w:val="00F50BDD"/>
    <w:rsid w:val="00F54E84"/>
    <w:rsid w:val="00F613E1"/>
    <w:rsid w:val="00F65171"/>
    <w:rsid w:val="00F82B56"/>
    <w:rsid w:val="00FC65F9"/>
    <w:rsid w:val="00FD728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CA7"/>
    <w:pPr>
      <w:ind w:left="720"/>
      <w:contextualSpacing/>
    </w:pPr>
  </w:style>
  <w:style w:type="paragraph" w:styleId="Footer">
    <w:name w:val="footer"/>
    <w:basedOn w:val="Normal"/>
    <w:link w:val="FooterChar"/>
    <w:uiPriority w:val="99"/>
    <w:semiHidden/>
    <w:unhideWhenUsed/>
    <w:rsid w:val="0074551B"/>
    <w:pPr>
      <w:tabs>
        <w:tab w:val="center" w:pos="4320"/>
        <w:tab w:val="right" w:pos="8640"/>
      </w:tabs>
    </w:pPr>
  </w:style>
  <w:style w:type="character" w:customStyle="1" w:styleId="FooterChar">
    <w:name w:val="Footer Char"/>
    <w:basedOn w:val="DefaultParagraphFont"/>
    <w:link w:val="Footer"/>
    <w:uiPriority w:val="99"/>
    <w:semiHidden/>
    <w:rsid w:val="0074551B"/>
  </w:style>
  <w:style w:type="character" w:styleId="PageNumber">
    <w:name w:val="page number"/>
    <w:basedOn w:val="DefaultParagraphFont"/>
    <w:uiPriority w:val="99"/>
    <w:semiHidden/>
    <w:unhideWhenUsed/>
    <w:rsid w:val="0074551B"/>
  </w:style>
  <w:style w:type="character" w:styleId="Hyperlink">
    <w:name w:val="Hyperlink"/>
    <w:basedOn w:val="DefaultParagraphFont"/>
    <w:uiPriority w:val="99"/>
    <w:semiHidden/>
    <w:unhideWhenUsed/>
    <w:rsid w:val="0074551B"/>
    <w:rPr>
      <w:color w:val="0000FF" w:themeColor="hyperlink"/>
      <w:u w:val="single"/>
    </w:rPr>
  </w:style>
  <w:style w:type="paragraph" w:styleId="EndnoteText">
    <w:name w:val="endnote text"/>
    <w:basedOn w:val="Normal"/>
    <w:link w:val="EndnoteTextChar"/>
    <w:uiPriority w:val="99"/>
    <w:unhideWhenUsed/>
    <w:rsid w:val="00933679"/>
    <w:rPr>
      <w:sz w:val="20"/>
      <w:szCs w:val="20"/>
    </w:rPr>
  </w:style>
  <w:style w:type="character" w:customStyle="1" w:styleId="EndnoteTextChar">
    <w:name w:val="Endnote Text Char"/>
    <w:basedOn w:val="DefaultParagraphFont"/>
    <w:link w:val="EndnoteText"/>
    <w:uiPriority w:val="99"/>
    <w:rsid w:val="00933679"/>
    <w:rPr>
      <w:sz w:val="20"/>
      <w:szCs w:val="20"/>
    </w:rPr>
  </w:style>
  <w:style w:type="character" w:styleId="EndnoteReference">
    <w:name w:val="endnote reference"/>
    <w:basedOn w:val="DefaultParagraphFont"/>
    <w:uiPriority w:val="99"/>
    <w:semiHidden/>
    <w:unhideWhenUsed/>
    <w:rsid w:val="00933679"/>
    <w:rPr>
      <w:vertAlign w:val="superscript"/>
    </w:rPr>
  </w:style>
  <w:style w:type="paragraph" w:styleId="BodyText">
    <w:name w:val="Body Text"/>
    <w:basedOn w:val="Normal"/>
    <w:link w:val="BodyTextChar"/>
    <w:rsid w:val="0033654E"/>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33654E"/>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6E06B-BF7C-4E30-B4F4-28598B09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25</Pages>
  <Words>6602</Words>
  <Characters>37633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44147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Amberg</dc:creator>
  <cp:lastModifiedBy>utsa</cp:lastModifiedBy>
  <cp:revision>135</cp:revision>
  <cp:lastPrinted>2012-08-26T20:26:00Z</cp:lastPrinted>
  <dcterms:created xsi:type="dcterms:W3CDTF">2012-08-20T16:26:00Z</dcterms:created>
  <dcterms:modified xsi:type="dcterms:W3CDTF">2016-09-02T19:36:00Z</dcterms:modified>
</cp:coreProperties>
</file>